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8A3E"/>
          <w:sz w:val="18"/>
          <w:szCs w:val="18"/>
        </w:rPr>
        <w:t xml:space="preserve">FRANÇAIS</w:t>
      </w:r>
    </w:p>
    <w:p>
      <w:pPr>
        <w:pStyle w:val="Heading1"/>
      </w:pPr>
      <w:r>
        <w:t xml:space="preserve">Politique de traitement des plaintes</w:t>
      </w:r>
    </w:p>
    <w:p>
      <w:pPr>
        <w:pBdr>
          <w:bottom w:val="single" w:color="B08A3E" w:sz="12" w:space="6"/>
        </w:pBdr>
        <w:spacing w:after="40"/>
      </w:pPr>
    </w:p>
    <w:p>
      <w:pPr>
        <w:spacing w:after="20" w:before="60"/>
      </w:pPr>
      <w:r>
        <w:rPr>
          <w:b/>
          <w:bCs/>
          <w:color w:val="15263F"/>
        </w:rPr>
        <w:t xml:space="preserve">Organisme : </w:t>
      </w:r>
      <w:r>
        <w:rPr>
          <w:color w:val="5B6675"/>
        </w:rPr>
        <w:t xml:space="preserve">Association professionnelle de criminologie du Nouveau-Brunswick (APCNB)</w:t>
      </w:r>
    </w:p>
    <w:p>
      <w:pPr>
        <w:spacing w:after="220"/>
      </w:pPr>
      <w:r>
        <w:rPr>
          <w:b/>
          <w:bCs/>
          <w:color w:val="15263F"/>
        </w:rPr>
        <w:t xml:space="preserve">Version : </w:t>
      </w:r>
      <w:r>
        <w:rPr>
          <w:color w:val="5B6675"/>
        </w:rPr>
        <w:t xml:space="preserve">1.0    </w:t>
      </w:r>
      <w:r>
        <w:rPr>
          <w:b/>
          <w:bCs/>
          <w:color w:val="15263F"/>
        </w:rPr>
        <w:t xml:space="preserve">Adopté le : </w:t>
      </w:r>
      <w:r>
        <w:rPr>
          <w:color w:val="5B6675"/>
        </w:rPr>
        <w:t xml:space="preserve">2 juin 2026</w:t>
      </w:r>
    </w:p>
    <w:p>
      <w:pPr>
        <w:spacing w:after="200"/>
      </w:pPr>
      <w:r>
        <w:rPr>
          <w:i/>
          <w:iCs/>
          <w:color w:val="5B6675"/>
          <w:sz w:val="24"/>
          <w:szCs w:val="24"/>
        </w:rPr>
        <w:t xml:space="preserve">Cette politique établit un processus équitable, transparent et bilingue pour traiter les plaintes visant un membre et assurer la protection du public.</w:t>
      </w:r>
    </w:p>
    <w:p>
      <w:pPr>
        <w:pStyle w:val="Heading2"/>
      </w:pPr>
      <w:r>
        <w:t xml:space="preserve">1. Qui peut déposer une plainte</w:t>
      </w:r>
    </w:p>
    <w:p>
      <w:pPr>
        <w:spacing w:after="140"/>
      </w:pPr>
      <w:r>
        <w:t xml:space="preserve">Toute personne — membre du public, client, employeur ou autre membre — peut déposer une plainte concernant la conduite professionnelle d'un membre.</w:t>
      </w:r>
    </w:p>
    <w:p>
      <w:pPr>
        <w:pStyle w:val="Heading2"/>
      </w:pPr>
      <w:r>
        <w:t xml:space="preserve">2. Dépôt de la plainte</w:t>
      </w:r>
    </w:p>
    <w:p>
      <w:pPr>
        <w:spacing w:after="140"/>
      </w:pPr>
      <w:r>
        <w:t xml:space="preserve">La plainte est présentée par écrit, dans la langue officielle du choix du plaignant, au secrétariat. Elle décrit les faits, les dates et les personnes en cause, et joint tout document pertinent.</w:t>
      </w:r>
    </w:p>
    <w:p>
      <w:pPr>
        <w:pStyle w:val="Heading2"/>
      </w:pPr>
      <w:r>
        <w:t xml:space="preserve">3. Recevabilité</w:t>
      </w:r>
    </w:p>
    <w:p>
      <w:pPr>
        <w:spacing w:after="140"/>
      </w:pPr>
      <w:r>
        <w:t xml:space="preserve">Le secrétariat accuse réception dans les 10 jours ouvrables et transmet le dossier au comité de déontologie, qui détermine la recevabilité dans les 30 jours.</w:t>
      </w:r>
    </w:p>
    <w:p>
      <w:pPr>
        <w:pStyle w:val="Heading2"/>
      </w:pPr>
      <w:r>
        <w:t xml:space="preserve">4. Examen</w:t>
      </w:r>
    </w:p>
    <w:p>
      <w:pPr>
        <w:pStyle w:val="ListParagraph"/>
        <w:numPr>
          <w:ilvl w:val="0"/>
          <w:numId w:val="2"/>
        </w:numPr>
        <w:spacing w:after="60"/>
      </w:pPr>
      <w:r>
        <w:t xml:space="preserve">Le membre visé est informé et invité à présenter ses observations dans un délai de 21 jours.</w:t>
      </w:r>
    </w:p>
    <w:p>
      <w:pPr>
        <w:pStyle w:val="ListParagraph"/>
        <w:numPr>
          <w:ilvl w:val="0"/>
          <w:numId w:val="2"/>
        </w:numPr>
        <w:spacing w:after="60"/>
      </w:pPr>
      <w:r>
        <w:t xml:space="preserve">Le comité peut recueillir des renseignements complémentaires et entendre les parties.</w:t>
      </w:r>
    </w:p>
    <w:p>
      <w:pPr>
        <w:pStyle w:val="ListParagraph"/>
        <w:numPr>
          <w:ilvl w:val="0"/>
          <w:numId w:val="2"/>
        </w:numPr>
        <w:spacing w:after="60"/>
      </w:pPr>
      <w:r>
        <w:t xml:space="preserve">L'instruction respecte l'équité procédurale et la confidentialité.</w:t>
      </w:r>
    </w:p>
    <w:p>
      <w:pPr>
        <w:pStyle w:val="Heading2"/>
      </w:pPr>
      <w:r>
        <w:t xml:space="preserve">5. Décisions et mesures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Constat</w:t>
            </w:r>
          </w:p>
        </w:tc>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Mesure possible</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Plainte non fondée</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Fermeture du dossier</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Manquement mineur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Avertissement écrit, formation corrective</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Manquement sérieux</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Réprimande, conditions d'exercice, suspension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Manquement grave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Radiation de l'Association</w:t>
            </w:r>
          </w:p>
        </w:tc>
      </w:tr>
    </w:tbl>
    <w:p>
      <w:pPr>
        <w:spacing w:after="120"/>
      </w:pPr>
    </w:p>
    <w:p>
      <w:pPr>
        <w:pStyle w:val="Heading2"/>
      </w:pPr>
      <w:r>
        <w:t xml:space="preserve">6. Appel</w:t>
      </w:r>
    </w:p>
    <w:p>
      <w:pPr>
        <w:spacing w:after="140"/>
      </w:pPr>
      <w:r>
        <w:t xml:space="preserve">La partie visée peut interjeter appel par écrit dans les 30 jours. Un comité d'appel indépendant, dont aucun membre n'a participé à la décision initiale, réexamine le dossier.</w:t>
      </w:r>
    </w:p>
    <w:p>
      <w:pPr>
        <w:pStyle w:val="Heading2"/>
      </w:pPr>
      <w:r>
        <w:t xml:space="preserve">7. Confidentialité et bonne foi</w:t>
      </w:r>
    </w:p>
    <w:p>
      <w:pPr>
        <w:spacing w:after="140"/>
      </w:pPr>
      <w:r>
        <w:t xml:space="preserve">Le processus est confidentiel. Les plaintes faites de mauvaise foi ou de manière vexatoire peuvent elles-mêmes faire l'objet de mesures.</w:t>
      </w:r>
    </w:p>
    <w:p>
      <w:pPr>
        <w:pStyle w:val="Heading2"/>
      </w:pPr>
      <w:r>
        <w:t xml:space="preserve">8. Registre</w:t>
      </w:r>
    </w:p>
    <w:p>
      <w:pPr>
        <w:spacing w:after="140"/>
      </w:pPr>
      <w:r>
        <w:t xml:space="preserve">L'Association tient un registre confidentiel des plaintes et de leur issue à des fins de reddition de comptes.</w:t>
      </w:r>
    </w:p>
    <w:p>
      <w:r>
        <w:br w:type="page"/>
      </w:r>
    </w:p>
    <w:p>
      <w:pPr>
        <w:spacing w:after="40"/>
      </w:pPr>
      <w:r>
        <w:rPr>
          <w:b/>
          <w:bCs/>
          <w:color w:val="B08A3E"/>
          <w:sz w:val="18"/>
          <w:szCs w:val="18"/>
        </w:rPr>
        <w:t xml:space="preserve">ENGLISH</w:t>
      </w:r>
    </w:p>
    <w:p>
      <w:pPr>
        <w:pStyle w:val="Heading1"/>
      </w:pPr>
      <w:r>
        <w:t xml:space="preserve">Complaints-Handling Policy</w:t>
      </w:r>
    </w:p>
    <w:p>
      <w:pPr>
        <w:pBdr>
          <w:bottom w:val="single" w:color="B08A3E" w:sz="12" w:space="6"/>
        </w:pBdr>
        <w:spacing w:after="40"/>
      </w:pPr>
    </w:p>
    <w:p>
      <w:pPr>
        <w:spacing w:after="20" w:before="60"/>
      </w:pPr>
      <w:r>
        <w:rPr>
          <w:b/>
          <w:bCs/>
          <w:color w:val="15263F"/>
        </w:rPr>
        <w:t xml:space="preserve">Organization : </w:t>
      </w:r>
      <w:r>
        <w:rPr>
          <w:color w:val="5B6675"/>
        </w:rPr>
        <w:t xml:space="preserve">New Brunswick Professional Association of Criminology (NBPAC)</w:t>
      </w:r>
    </w:p>
    <w:p>
      <w:pPr>
        <w:spacing w:after="220"/>
      </w:pPr>
      <w:r>
        <w:rPr>
          <w:b/>
          <w:bCs/>
          <w:color w:val="15263F"/>
        </w:rPr>
        <w:t xml:space="preserve">Version : </w:t>
      </w:r>
      <w:r>
        <w:rPr>
          <w:color w:val="5B6675"/>
        </w:rPr>
        <w:t xml:space="preserve">1.0    </w:t>
      </w:r>
      <w:r>
        <w:rPr>
          <w:b/>
          <w:bCs/>
          <w:color w:val="15263F"/>
        </w:rPr>
        <w:t xml:space="preserve">Adopted : </w:t>
      </w:r>
      <w:r>
        <w:rPr>
          <w:color w:val="5B6675"/>
        </w:rPr>
        <w:t xml:space="preserve">June 2, 2026</w:t>
      </w:r>
    </w:p>
    <w:p>
      <w:pPr>
        <w:spacing w:after="200"/>
      </w:pPr>
      <w:r>
        <w:rPr>
          <w:i/>
          <w:iCs/>
          <w:color w:val="5B6675"/>
          <w:sz w:val="24"/>
          <w:szCs w:val="24"/>
        </w:rPr>
        <w:t xml:space="preserve">This policy establishes a fair, transparent and bilingual process for handling complaints against a member and protecting the public.</w:t>
      </w:r>
    </w:p>
    <w:p>
      <w:pPr>
        <w:pStyle w:val="Heading2"/>
      </w:pPr>
      <w:r>
        <w:t xml:space="preserve">1. Who May File a Complaint</w:t>
      </w:r>
    </w:p>
    <w:p>
      <w:pPr>
        <w:spacing w:after="140"/>
      </w:pPr>
      <w:r>
        <w:t xml:space="preserve">Anyone — a member of the public, client, employer or fellow member — may file a complaint concerning the professional conduct of a member.</w:t>
      </w:r>
    </w:p>
    <w:p>
      <w:pPr>
        <w:pStyle w:val="Heading2"/>
      </w:pPr>
      <w:r>
        <w:t xml:space="preserve">2. Filing a Complaint</w:t>
      </w:r>
    </w:p>
    <w:p>
      <w:pPr>
        <w:spacing w:after="140"/>
      </w:pPr>
      <w:r>
        <w:t xml:space="preserve">The complaint is submitted in writing, in the complainant's chosen official language, to the secretariat. It describes the facts, dates and people involved, and attaches any relevant documents.</w:t>
      </w:r>
    </w:p>
    <w:p>
      <w:pPr>
        <w:pStyle w:val="Heading2"/>
      </w:pPr>
      <w:r>
        <w:t xml:space="preserve">3. Admissibility</w:t>
      </w:r>
    </w:p>
    <w:p>
      <w:pPr>
        <w:spacing w:after="140"/>
      </w:pPr>
      <w:r>
        <w:t xml:space="preserve">The secretariat acknowledges receipt within 10 business days and forwards the file to the ethics committee, which determines admissibility within 30 days.</w:t>
      </w:r>
    </w:p>
    <w:p>
      <w:pPr>
        <w:pStyle w:val="Heading2"/>
      </w:pPr>
      <w:r>
        <w:t xml:space="preserve">4. Review</w:t>
      </w:r>
    </w:p>
    <w:p>
      <w:pPr>
        <w:pStyle w:val="ListParagraph"/>
        <w:numPr>
          <w:ilvl w:val="0"/>
          <w:numId w:val="3"/>
        </w:numPr>
        <w:spacing w:after="60"/>
      </w:pPr>
      <w:r>
        <w:t xml:space="preserve">The member concerned is informed and invited to respond within 21 days.</w:t>
      </w:r>
    </w:p>
    <w:p>
      <w:pPr>
        <w:pStyle w:val="ListParagraph"/>
        <w:numPr>
          <w:ilvl w:val="0"/>
          <w:numId w:val="3"/>
        </w:numPr>
        <w:spacing w:after="60"/>
      </w:pPr>
      <w:r>
        <w:t xml:space="preserve">The committee may gather additional information and hear the parties.</w:t>
      </w:r>
    </w:p>
    <w:p>
      <w:pPr>
        <w:pStyle w:val="ListParagraph"/>
        <w:numPr>
          <w:ilvl w:val="0"/>
          <w:numId w:val="3"/>
        </w:numPr>
        <w:spacing w:after="60"/>
      </w:pPr>
      <w:r>
        <w:t xml:space="preserve">The review respects procedural fairness and confidentiality.</w:t>
      </w:r>
    </w:p>
    <w:p>
      <w:pPr>
        <w:pStyle w:val="Heading2"/>
      </w:pPr>
      <w:r>
        <w:t xml:space="preserve">5. Decisions and Measures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Finding</w:t>
            </w:r>
          </w:p>
        </w:tc>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Possible measure</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Unfounded complaint</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File closed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Minor breach</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Written warning, corrective training</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Serious breach</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Reprimand, conditions of practice, suspension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Grave breach</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Removal from the Association</w:t>
            </w:r>
          </w:p>
        </w:tc>
      </w:tr>
    </w:tbl>
    <w:p>
      <w:pPr>
        <w:spacing w:after="120"/>
      </w:pPr>
    </w:p>
    <w:p>
      <w:pPr>
        <w:pStyle w:val="Heading2"/>
      </w:pPr>
      <w:r>
        <w:t xml:space="preserve">6. Appeal</w:t>
      </w:r>
    </w:p>
    <w:p>
      <w:pPr>
        <w:spacing w:after="140"/>
      </w:pPr>
      <w:r>
        <w:t xml:space="preserve">The member concerned may appeal in writing within 30 days. An independent appeal committee, none of whose members took part in the original decision, reviews the file.</w:t>
      </w:r>
    </w:p>
    <w:p>
      <w:pPr>
        <w:pStyle w:val="Heading2"/>
      </w:pPr>
      <w:r>
        <w:t xml:space="preserve">7. Confidentiality and Good Faith</w:t>
      </w:r>
    </w:p>
    <w:p>
      <w:pPr>
        <w:spacing w:after="140"/>
      </w:pPr>
      <w:r>
        <w:t xml:space="preserve">The process is confidential. Complaints made in bad faith or in a vexatious manner may themselves be subject to measures.</w:t>
      </w:r>
    </w:p>
    <w:p>
      <w:pPr>
        <w:pStyle w:val="Heading2"/>
      </w:pPr>
      <w:r>
        <w:t xml:space="preserve">8. Register</w:t>
      </w:r>
    </w:p>
    <w:p>
      <w:pPr>
        <w:spacing w:after="140"/>
      </w:pPr>
      <w:r>
        <w:t xml:space="preserve">The Association keeps a confidential register of complaints and their outcomes for accountability.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space="6"/>
      </w:pBdr>
      <w:jc w:val="center"/>
    </w:pPr>
    <w:r>
      <w:rPr>
        <w:color w:val="5B6675"/>
        <w:sz w:val="15"/>
        <w:szCs w:val="15"/>
      </w:rPr>
      <w:t xml:space="preserve">C.P. 0000, Fredericton (Nouveau-Brunswick) E3B 0A0   ·   info@apcnb.ca   ·   </w:t>
    </w:r>
    <w:r>
      <w:rPr>
        <w:color w:val="5B6675"/>
        <w:sz w:val="15"/>
        <w:szCs w:val="15"/>
      </w:rPr>
      <w:fldChar w:fldCharType="begin"/>
      <w:instrText xml:space="preserve">PAGE</w:instrText>
      <w:fldChar w:fldCharType="separate"/>
      <w:fldChar w:fldCharType="end"/>
    </w:r>
    <w:r>
      <w:rPr>
        <w:color w:val="5B6675"/>
        <w:sz w:val="15"/>
        <w:szCs w:val="15"/>
      </w:rPr>
      <w:t xml:space="preserve">/</w:t>
    </w:r>
    <w:r>
      <w:rPr>
        <w:color w:val="5B667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space="6"/>
      </w:pBdr>
      <w:tabs>
        <w:tab w:val="right" w:pos="9360"/>
      </w:tabs>
      <w:spacing w:after="60"/>
    </w:pPr>
    <w:r>
      <w:drawing>
        <wp:inline distT="0" distB="0" distL="0" distR="0">
          <wp:extent cx="285750" cy="285750"/>
          <wp:effectExtent t="0" r="0" b="0" l="0"/>
          <wp:docPr id="1" name="logo" descr="Sceau" title="APC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85750" cy="285750"/>
                  </a:xfrm>
                  <a:prstGeom prst="rect">
                    <a:avLst/>
                  </a:prstGeom>
                </pic:spPr>
              </pic:pic>
            </a:graphicData>
          </a:graphic>
        </wp:inline>
      </w:drawing>
    </w:r>
    <w:r>
      <w:rPr>
        <w:b/>
        <w:bCs/>
        <w:color w:val="15263F"/>
        <w:sz w:val="18"/>
        <w:szCs w:val="18"/>
      </w:rPr>
      <w:t xml:space="preserve">  APCNB · NBPAC</w:t>
    </w:r>
    <w:r>
      <w:rPr>
        <w:color w:val="5B6675"/>
        <w:sz w:val="16"/>
        <w:szCs w:val="16"/>
      </w:rPr>
      <w:t xml:space="preserve">	Traitement des plaintes / Complaints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33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120"/>
      <w:outlineLvl w:val="0"/>
    </w:pPr>
    <w:rPr>
      <w:rFonts w:ascii="Georgia" w:cs="Georgia" w:eastAsia="Georgia" w:hAnsi="Georgia"/>
      <w:b/>
      <w:bCs/>
      <w:color w:val="15263F"/>
      <w:sz w:val="34"/>
      <w:szCs w:val="34"/>
    </w:rPr>
  </w:style>
  <w:style w:type="paragraph" w:styleId="Heading2">
    <w:name w:val="Heading 2"/>
    <w:basedOn w:val="Normal"/>
    <w:next w:val="Normal"/>
    <w:qFormat/>
    <w:pPr>
      <w:spacing w:after="100" w:before="240"/>
      <w:outlineLvl w:val="1"/>
    </w:pPr>
    <w:rPr>
      <w:rFonts w:ascii="Georgia" w:cs="Georgia" w:eastAsia="Georgia" w:hAnsi="Georgia"/>
      <w:b/>
      <w:bCs/>
      <w:color w:val="1526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c6fb9fb65dd3b7dedf4e6e2050424e5d6341c6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de traitement des plaintes / Complaints-Handling Policy</dc:title>
  <dc:creator>APCNB / NBPAC</dc:creator>
  <cp:lastModifiedBy>Un-named</cp:lastModifiedBy>
  <cp:revision>1</cp:revision>
  <dcterms:created xsi:type="dcterms:W3CDTF">2026-09-09T02:05:40.630Z</dcterms:created>
  <dcterms:modified xsi:type="dcterms:W3CDTF">2026-09-09T02:05:40.630Z</dcterms:modified>
</cp:coreProperties>
</file>

<file path=docProps/custom.xml><?xml version="1.0" encoding="utf-8"?>
<Properties xmlns="http://schemas.openxmlformats.org/officeDocument/2006/custom-properties" xmlns:vt="http://schemas.openxmlformats.org/officeDocument/2006/docPropsVTypes"/>
</file>