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B08A3E"/>
          <w:sz w:val="18"/>
          <w:szCs w:val="18"/>
        </w:rPr>
        <w:t xml:space="preserve">FRANÇAIS</w:t>
      </w:r>
    </w:p>
    <w:p>
      <w:pPr>
        <w:pStyle w:val="Heading1"/>
      </w:pPr>
      <w:r>
        <w:t xml:space="preserve">Code de déontologie</w:t>
      </w:r>
    </w:p>
    <w:p>
      <w:pPr>
        <w:pBdr>
          <w:bottom w:val="single" w:color="B08A3E" w:sz="12" w:space="6"/>
        </w:pBdr>
        <w:spacing w:after="40"/>
      </w:pPr>
    </w:p>
    <w:p>
      <w:pPr>
        <w:spacing w:after="20" w:before="60"/>
      </w:pPr>
      <w:r>
        <w:rPr>
          <w:b/>
          <w:bCs/>
          <w:color w:val="15263F"/>
        </w:rPr>
        <w:t xml:space="preserve">Organisme : </w:t>
      </w:r>
      <w:r>
        <w:rPr>
          <w:color w:val="5B6675"/>
        </w:rPr>
        <w:t xml:space="preserve">Association professionnelle de criminologie du Nouveau-Brunswick (APCNB)</w:t>
      </w:r>
    </w:p>
    <w:p>
      <w:pPr>
        <w:spacing w:after="220"/>
      </w:pPr>
      <w:r>
        <w:rPr>
          <w:b/>
          <w:bCs/>
          <w:color w:val="15263F"/>
        </w:rPr>
        <w:t xml:space="preserve">Version : </w:t>
      </w:r>
      <w:r>
        <w:rPr>
          <w:color w:val="5B6675"/>
        </w:rPr>
        <w:t xml:space="preserve">1.0    </w:t>
      </w:r>
      <w:r>
        <w:rPr>
          <w:b/>
          <w:bCs/>
          <w:color w:val="15263F"/>
        </w:rPr>
        <w:t xml:space="preserve">Adopté le : </w:t>
      </w:r>
      <w:r>
        <w:rPr>
          <w:color w:val="5B6675"/>
        </w:rPr>
        <w:t xml:space="preserve">2 juin 2026</w:t>
      </w:r>
    </w:p>
    <w:p>
      <w:pPr>
        <w:spacing w:after="200"/>
      </w:pPr>
      <w:r>
        <w:rPr>
          <w:i/>
          <w:iCs/>
          <w:color w:val="5B6675"/>
          <w:sz w:val="24"/>
          <w:szCs w:val="24"/>
        </w:rPr>
        <w:t xml:space="preserve">Le présent code énonce les obligations éthiques de tout membre de l'APCNB. Il vise à protéger le public, à préserver la confiance envers la profession et à guider la conduite des criminologues.</w:t>
      </w:r>
    </w:p>
    <w:p>
      <w:pPr>
        <w:pStyle w:val="Heading2"/>
      </w:pPr>
      <w:r>
        <w:t xml:space="preserve">1. Champ d'application</w:t>
      </w:r>
    </w:p>
    <w:p>
      <w:pPr>
        <w:spacing w:after="140"/>
      </w:pPr>
      <w:r>
        <w:t xml:space="preserve">Le code s'applique à tous les membres, quelle que soit leur catégorie, dans l'ensemble de leurs activités professionnelles : recherche, évaluation, intervention, enseignement et consultation.</w:t>
      </w:r>
    </w:p>
    <w:p>
      <w:pPr>
        <w:pStyle w:val="Heading2"/>
      </w:pPr>
      <w:r>
        <w:t xml:space="preserve">2. Intégrité et honnêteté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Agir avec honnêteté, probité et bonne foi.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Ne participer à aucune fraude ni fausse représentation de ses qualifications.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Ne présenter comme siens que les travaux réellement accomplis.</w:t>
      </w:r>
    </w:p>
    <w:p>
      <w:pPr>
        <w:pStyle w:val="Heading2"/>
      </w:pPr>
      <w:r>
        <w:t xml:space="preserve">3. Compétence et champ d'exercice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N'exercer que dans les limites de sa compétence, de sa formation et de son expérience.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Maintenir ses connaissances à jour conformément à la Politique de formation continue.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Fonder ses avis sur des données probantes et des méthodes reconnues.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Respecter les limites de son champ d'exercice; ne poser aucun acte réservé à une profession réglementée (travail social, psychologie, counseling, droit, médecine) sans en détenir le titre, et diriger la personne vers la profession compétente au besoin.</w:t>
      </w:r>
    </w:p>
    <w:p>
      <w:pPr>
        <w:pStyle w:val="Heading2"/>
      </w:pPr>
      <w:r>
        <w:t xml:space="preserve">4. Confidentialité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Protéger les renseignements confidentiels obtenus dans l'exercice de ses fonctions.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Ne les divulguer qu'avec consentement ou lorsque la loi l'exige.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Prendre les mesures raisonnables pour assurer la sécurité des données.</w:t>
      </w:r>
    </w:p>
    <w:p>
      <w:pPr>
        <w:pStyle w:val="Heading2"/>
      </w:pPr>
      <w:r>
        <w:t xml:space="preserve">5. Objectivité et conflits d'intérêts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Demeurer objectif et impartial.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Déclarer sans délai tout conflit d'intérêts réel, potentiel ou apparent.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Ne pas abuser de sa position pour obtenir un avantage indu.</w:t>
      </w:r>
    </w:p>
    <w:p>
      <w:pPr>
        <w:pStyle w:val="Heading2"/>
      </w:pPr>
      <w:r>
        <w:t xml:space="preserve">6. Respect de la dignité humaine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Respecter les droits et la dignité de toute personne, sans discrimination.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S'abstenir de tout harcèlement, abus de pouvoir ou exploitation.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Tenir compte des contextes culturels, linguistiques et sociaux.</w:t>
      </w:r>
    </w:p>
    <w:p>
      <w:pPr>
        <w:pStyle w:val="Heading2"/>
      </w:pPr>
      <w:r>
        <w:t xml:space="preserve">7. Responsabilité envers le public et la profession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Faire passer l'intérêt public avant son intérêt personnel.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Contribuer à la réputation et à l'avancement de la profession.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Signaler tout manquement déontologique grave.</w:t>
      </w:r>
    </w:p>
    <w:p>
      <w:pPr>
        <w:pStyle w:val="Heading2"/>
      </w:pPr>
      <w:r>
        <w:t xml:space="preserve">8. Service dans les deux langues officielles</w:t>
      </w:r>
    </w:p>
    <w:p>
      <w:pPr>
        <w:spacing w:after="140"/>
      </w:pPr>
      <w:r>
        <w:t xml:space="preserve">Dans la mesure du possible, le membre facilite l'accès à ses services en français ou en anglais selon le choix de la personne.</w:t>
      </w:r>
    </w:p>
    <w:p>
      <w:pPr>
        <w:pStyle w:val="Heading2"/>
      </w:pPr>
      <w:r>
        <w:t xml:space="preserve">9. Manquements et mesures</w:t>
      </w:r>
    </w:p>
    <w:p>
      <w:pPr>
        <w:spacing w:after="140"/>
      </w:pPr>
      <w:r>
        <w:t xml:space="preserve">Tout manquement peut donner lieu à des mesures disciplinaires conformément à la Politique de traitement des plaintes, pouvant aller de l'avertissement à la radiation.</w:t>
      </w:r>
    </w:p>
    <w:p>
      <w:pPr>
        <w:pBdr>
          <w:left w:val="single" w:color="B08A3E" w:sz="18" w:space="8"/>
        </w:pBdr>
        <w:shd w:fill="F4EEDD" w:val="clear"/>
        <w:spacing w:after="160" w:before="120"/>
      </w:pPr>
      <w:r>
        <w:t xml:space="preserve">Engagement : En adhérant à l'APCNB, chaque membre s'engage à respecter le présent code et à en promouvoir les principes.</w:t>
      </w:r>
    </w:p>
    <w:p>
      <w:r>
        <w:br w:type="page"/>
      </w:r>
    </w:p>
    <w:p>
      <w:pPr>
        <w:spacing w:after="40"/>
      </w:pPr>
      <w:r>
        <w:rPr>
          <w:b/>
          <w:bCs/>
          <w:color w:val="B08A3E"/>
          <w:sz w:val="18"/>
          <w:szCs w:val="18"/>
        </w:rPr>
        <w:t xml:space="preserve">ENGLISH</w:t>
      </w:r>
    </w:p>
    <w:p>
      <w:pPr>
        <w:pStyle w:val="Heading1"/>
      </w:pPr>
      <w:r>
        <w:t xml:space="preserve">Code of Ethics</w:t>
      </w:r>
    </w:p>
    <w:p>
      <w:pPr>
        <w:pBdr>
          <w:bottom w:val="single" w:color="B08A3E" w:sz="12" w:space="6"/>
        </w:pBdr>
        <w:spacing w:after="40"/>
      </w:pPr>
    </w:p>
    <w:p>
      <w:pPr>
        <w:spacing w:after="20" w:before="60"/>
      </w:pPr>
      <w:r>
        <w:rPr>
          <w:b/>
          <w:bCs/>
          <w:color w:val="15263F"/>
        </w:rPr>
        <w:t xml:space="preserve">Organization : </w:t>
      </w:r>
      <w:r>
        <w:rPr>
          <w:color w:val="5B6675"/>
        </w:rPr>
        <w:t xml:space="preserve">New Brunswick Professional Association of Criminology (NBPAC)</w:t>
      </w:r>
    </w:p>
    <w:p>
      <w:pPr>
        <w:spacing w:after="220"/>
      </w:pPr>
      <w:r>
        <w:rPr>
          <w:b/>
          <w:bCs/>
          <w:color w:val="15263F"/>
        </w:rPr>
        <w:t xml:space="preserve">Version : </w:t>
      </w:r>
      <w:r>
        <w:rPr>
          <w:color w:val="5B6675"/>
        </w:rPr>
        <w:t xml:space="preserve">1.0    </w:t>
      </w:r>
      <w:r>
        <w:rPr>
          <w:b/>
          <w:bCs/>
          <w:color w:val="15263F"/>
        </w:rPr>
        <w:t xml:space="preserve">Adopted : </w:t>
      </w:r>
      <w:r>
        <w:rPr>
          <w:color w:val="5B6675"/>
        </w:rPr>
        <w:t xml:space="preserve">June 2, 2026</w:t>
      </w:r>
    </w:p>
    <w:p>
      <w:pPr>
        <w:spacing w:after="200"/>
      </w:pPr>
      <w:r>
        <w:rPr>
          <w:i/>
          <w:iCs/>
          <w:color w:val="5B6675"/>
          <w:sz w:val="24"/>
          <w:szCs w:val="24"/>
        </w:rPr>
        <w:t xml:space="preserve">This code sets out the ethical obligations of every NBPAC member. It is intended to protect the public, preserve trust in the profession and guide the conduct of criminologists.</w:t>
      </w:r>
    </w:p>
    <w:p>
      <w:pPr>
        <w:pStyle w:val="Heading2"/>
      </w:pPr>
      <w:r>
        <w:t xml:space="preserve">1. Scope</w:t>
      </w:r>
    </w:p>
    <w:p>
      <w:pPr>
        <w:spacing w:after="140"/>
      </w:pPr>
      <w:r>
        <w:t xml:space="preserve">The code applies to all members, regardless of category, across all professional activities: research, assessment, intervention, teaching and consulting.</w:t>
      </w:r>
    </w:p>
    <w:p>
      <w:pPr>
        <w:pStyle w:val="Heading2"/>
      </w:pPr>
      <w:r>
        <w:t xml:space="preserve">2. Integrity and Honesty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Act with honesty, probity and good faith.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Take part in no fraud or misrepresentation of qualifications.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Claim as one's own only work actually performed.</w:t>
      </w:r>
    </w:p>
    <w:p>
      <w:pPr>
        <w:pStyle w:val="Heading2"/>
      </w:pPr>
      <w:r>
        <w:t xml:space="preserve">3. Competence and scope of practice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Practise only within the limits of one's competence, training and experience.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Keep knowledge current under the Continuing Professional Development Policy.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Base opinions on evidence and recognized methods.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Respect the limits of one's scope of practice; perform no act reserved to a regulated profession (social work, psychology, counselling therapy, law, medicine) without holding the title, and refer the person to the competent profession when needed.</w:t>
      </w:r>
    </w:p>
    <w:p>
      <w:pPr>
        <w:pStyle w:val="Heading2"/>
      </w:pPr>
      <w:r>
        <w:t xml:space="preserve">4. Confidentiality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Protect confidential information obtained in the course of duties.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Disclose it only with consent or where required by law.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Take reasonable measures to ensure data security.</w:t>
      </w:r>
    </w:p>
    <w:p>
      <w:pPr>
        <w:pStyle w:val="Heading2"/>
      </w:pPr>
      <w:r>
        <w:t xml:space="preserve">5. Objectivity and Conflicts of Interest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Remain objective and impartial.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Promptly declare any actual, potential or apparent conflict of interest.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Not misuse one's position for undue advantage.</w:t>
      </w:r>
    </w:p>
    <w:p>
      <w:pPr>
        <w:pStyle w:val="Heading2"/>
      </w:pPr>
      <w:r>
        <w:t xml:space="preserve">6. Respect for Human Dignity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Respect the rights and dignity of every person, without discrimination.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Refrain from harassment, abuse of power or exploitation.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Account for cultural, linguistic and social contexts.</w:t>
      </w:r>
    </w:p>
    <w:p>
      <w:pPr>
        <w:pStyle w:val="Heading2"/>
      </w:pPr>
      <w:r>
        <w:t xml:space="preserve">7. Accountability to the Public and the Profession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Place the public interest ahead of personal interest.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Contribute to the reputation and advancement of the profession.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Report any serious ethical breach.</w:t>
      </w:r>
    </w:p>
    <w:p>
      <w:pPr>
        <w:pStyle w:val="Heading2"/>
      </w:pPr>
      <w:r>
        <w:t xml:space="preserve">8. Service in Both Official Languages</w:t>
      </w:r>
    </w:p>
    <w:p>
      <w:pPr>
        <w:spacing w:after="140"/>
      </w:pPr>
      <w:r>
        <w:t xml:space="preserve">Wherever possible, the member facilitates access to their services in French or English according to the person's choice.</w:t>
      </w:r>
    </w:p>
    <w:p>
      <w:pPr>
        <w:pStyle w:val="Heading2"/>
      </w:pPr>
      <w:r>
        <w:t xml:space="preserve">9. Breaches and Measures</w:t>
      </w:r>
    </w:p>
    <w:p>
      <w:pPr>
        <w:spacing w:after="140"/>
      </w:pPr>
      <w:r>
        <w:t xml:space="preserve">Any breach may lead to disciplinary measures under the Complaints-Handling Policy, ranging from a warning to removal.</w:t>
      </w:r>
    </w:p>
    <w:p>
      <w:pPr>
        <w:pBdr>
          <w:left w:val="single" w:color="B08A3E" w:sz="18" w:space="8"/>
        </w:pBdr>
        <w:shd w:fill="F4EEDD" w:val="clear"/>
        <w:spacing w:after="160" w:before="120"/>
      </w:pPr>
      <w:r>
        <w:t xml:space="preserve">Commitment: By joining the NBPAC, each member undertakes to respect this code and to promote its principles.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6" w:space="6"/>
      </w:pBdr>
      <w:jc w:val="center"/>
    </w:pPr>
    <w:r>
      <w:rPr>
        <w:color w:val="5B6675"/>
        <w:sz w:val="15"/>
        <w:szCs w:val="15"/>
      </w:rPr>
      <w:t xml:space="preserve">C.P. 0000, Fredericton (Nouveau-Brunswick) E3B 0A0   ·   info@apcnb.ca   ·   </w:t>
    </w:r>
    <w:r>
      <w:rPr>
        <w:color w:val="5B6675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color w:val="5B6675"/>
        <w:sz w:val="15"/>
        <w:szCs w:val="15"/>
      </w:rPr>
      <w:t xml:space="preserve">/</w:t>
    </w:r>
    <w:r>
      <w:rPr>
        <w:color w:val="5B6675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6" w:space="6"/>
      </w:pBdr>
      <w:tabs>
        <w:tab w:val="right" w:pos="9360"/>
      </w:tabs>
      <w:spacing w:after="60"/>
    </w:pPr>
    <w:r>
      <w:drawing>
        <wp:inline distT="0" distB="0" distL="0" distR="0">
          <wp:extent cx="285750" cy="285750"/>
          <wp:effectExtent t="0" r="0" b="0" l="0"/>
          <wp:docPr id="1" name="logo" descr="Sceau" title="APC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color w:val="15263F"/>
        <w:sz w:val="18"/>
        <w:szCs w:val="18"/>
      </w:rPr>
      <w:t xml:space="preserve">  APCNB · NBPAC</w:t>
    </w:r>
    <w:r>
      <w:rPr>
        <w:color w:val="5B6675"/>
        <w:sz w:val="16"/>
        <w:szCs w:val="16"/>
      </w:rPr>
      <w:t xml:space="preserve">	Code de déontologie / Code of Ethics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B233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120"/>
      <w:outlineLvl w:val="0"/>
    </w:pPr>
    <w:rPr>
      <w:rFonts w:ascii="Georgia" w:cs="Georgia" w:eastAsia="Georgia" w:hAnsi="Georgia"/>
      <w:b/>
      <w:bCs/>
      <w:color w:val="15263F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00" w:before="240"/>
      <w:outlineLvl w:val="1"/>
    </w:pPr>
    <w:rPr>
      <w:rFonts w:ascii="Georgia" w:cs="Georgia" w:eastAsia="Georgia" w:hAnsi="Georgia"/>
      <w:b/>
      <w:bCs/>
      <w:color w:val="15263F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c6fb9fb65dd3b7dedf4e6e2050424e5d6341c68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Code de déontologie / Code of Ethics</dc:title>
  <dc:creator>APCNB / NBPAC</dc:creator>
  <cp:lastModifiedBy>Un-named</cp:lastModifiedBy>
  <cp:revision>1</cp:revision>
  <dcterms:created xsi:type="dcterms:W3CDTF">2026-09-09T02:05:40.533Z</dcterms:created>
  <dcterms:modified xsi:type="dcterms:W3CDTF">2026-09-09T02:05:40.533Z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