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Politique de traitement des plaintes</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Cette politique établit un processus équitable, transparent et bilingue pour traiter les plaintes visant un membre et assurer la protection du public.</w:t>
      </w:r>
    </w:p>
    <w:p>
      <w:pPr>
        <w:pStyle w:val="Heading2"/>
      </w:pPr>
      <w:r>
        <w:t xml:space="preserve">1. Qui peut déposer une plainte</w:t>
      </w:r>
    </w:p>
    <w:p>
      <w:pPr>
        <w:spacing w:after="140"/>
      </w:pPr>
      <w:r>
        <w:t xml:space="preserve">Toute personne — membre du public, client, employeur ou autre membre — peut déposer une plainte concernant la conduite professionnelle d'un membre.</w:t>
      </w:r>
    </w:p>
    <w:p>
      <w:pPr>
        <w:pStyle w:val="Heading2"/>
      </w:pPr>
      <w:r>
        <w:t xml:space="preserve">2. Dépôt de la plainte</w:t>
      </w:r>
    </w:p>
    <w:p>
      <w:pPr>
        <w:spacing w:after="140"/>
      </w:pPr>
      <w:r>
        <w:t xml:space="preserve">La plainte est présentée par écrit, dans la langue officielle du choix du plaignant, au secrétariat. Elle décrit les faits, les dates et les personnes en cause, et joint tout document pertinent.</w:t>
      </w:r>
    </w:p>
    <w:p>
      <w:pPr>
        <w:pStyle w:val="Heading2"/>
      </w:pPr>
      <w:r>
        <w:t xml:space="preserve">3. Recevabilité</w:t>
      </w:r>
    </w:p>
    <w:p>
      <w:pPr>
        <w:spacing w:after="140"/>
      </w:pPr>
      <w:r>
        <w:t xml:space="preserve">Le secrétariat accuse réception dans les 10 jours ouvrables et transmet le dossier au comité de déontologie, qui détermine la recevabilité dans les 30 jours.</w:t>
      </w:r>
    </w:p>
    <w:p>
      <w:pPr>
        <w:pStyle w:val="Heading2"/>
      </w:pPr>
      <w:r>
        <w:t xml:space="preserve">4. Examen</w:t>
      </w:r>
    </w:p>
    <w:p>
      <w:pPr>
        <w:pStyle w:val="ListParagraph"/>
        <w:numPr>
          <w:ilvl w:val="0"/>
          <w:numId w:val="2"/>
        </w:numPr>
        <w:spacing w:after="60"/>
      </w:pPr>
      <w:r>
        <w:t xml:space="preserve">Le membre visé est informé et invité à présenter ses observations dans un délai de 21 jours.</w:t>
      </w:r>
    </w:p>
    <w:p>
      <w:pPr>
        <w:pStyle w:val="ListParagraph"/>
        <w:numPr>
          <w:ilvl w:val="0"/>
          <w:numId w:val="2"/>
        </w:numPr>
        <w:spacing w:after="60"/>
      </w:pPr>
      <w:r>
        <w:t xml:space="preserve">Le comité peut recueillir des renseignements complémentaires et entendre les parties.</w:t>
      </w:r>
    </w:p>
    <w:p>
      <w:pPr>
        <w:pStyle w:val="ListParagraph"/>
        <w:numPr>
          <w:ilvl w:val="0"/>
          <w:numId w:val="2"/>
        </w:numPr>
        <w:spacing w:after="60"/>
      </w:pPr>
      <w:r>
        <w:t xml:space="preserve">L'instruction respecte l'équité procédurale et la confidentialité.</w:t>
      </w:r>
    </w:p>
    <w:p>
      <w:pPr>
        <w:pStyle w:val="Heading2"/>
      </w:pPr>
      <w:r>
        <w:t xml:space="preserve">5. Décisions et mesures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Constat</w:t>
            </w:r>
          </w:p>
        </w:tc>
        <w:tc>
          <w:tcPr>
            <w:tcW w:type="dxa" w:w="4680"/>
            <w:tcBorders>
              <w:top w:val="single" w:color="CCCCCC" w:sz="1"/>
              <w:left w:val="single" w:color="CCCCCC" w:sz="1"/>
              <w:bottom w:val="single" w:color="CCCCCC" w:sz="1"/>
              <w:right w:val="single" w:color="CCCCCC" w:sz="1"/>
            </w:tcBorders>
            <w:shd w:fill="15263F" w:val="clear"/>
            <w:tcMar>
              <w:top w:type="dxa" w:w="80"/>
              <w:left w:type="dxa" w:w="120"/>
              <w:bottom w:type="dxa" w:w="80"/>
              <w:right w:type="dxa" w:w="120"/>
            </w:tcMar>
          </w:tcPr>
          <w:p>
            <w:r>
              <w:rPr>
                <w:b/>
                <w:bCs/>
                <w:color w:val="FFFFFF"/>
              </w:rPr>
              <w:t xml:space="preserve">Mesure possible</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Plainte non fondée</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Fermeture du dossier</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Manquement mineur</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Avertissement écrit, formation corrective</w:t>
            </w:r>
          </w:p>
        </w:tc>
      </w:tr>
      <w:tr>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Manquement sérieux</w:t>
            </w:r>
          </w:p>
        </w:tc>
        <w:tc>
          <w:tcPr>
            <w:tcW w:type="dxa" w:w="4680"/>
            <w:tcBorders>
              <w:top w:val="single" w:color="CCCCCC" w:sz="1"/>
              <w:left w:val="single" w:color="CCCCCC" w:sz="1"/>
              <w:bottom w:val="single" w:color="CCCCCC" w:sz="1"/>
              <w:right w:val="single" w:color="CCCCCC" w:sz="1"/>
            </w:tcBorders>
            <w:shd w:fill="F7F4EC" w:val="clear"/>
            <w:tcMar>
              <w:top w:type="dxa" w:w="80"/>
              <w:left w:type="dxa" w:w="120"/>
              <w:bottom w:type="dxa" w:w="80"/>
              <w:right w:type="dxa" w:w="120"/>
            </w:tcMar>
          </w:tcPr>
          <w:p>
            <w:r>
              <w:t xml:space="preserve">Réprimande, conditions d'exercice, suspension</w:t>
            </w:r>
          </w:p>
        </w:tc>
      </w:tr>
      <w:tr>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Manquement grave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t xml:space="preserve">Radiation de l'Association</w:t>
            </w:r>
          </w:p>
        </w:tc>
      </w:tr>
    </w:tbl>
    <w:p>
      <w:pPr>
        <w:spacing w:after="120"/>
      </w:pPr>
    </w:p>
    <w:p>
      <w:pPr>
        <w:pStyle w:val="Heading2"/>
      </w:pPr>
      <w:r>
        <w:t xml:space="preserve">6. Appel</w:t>
      </w:r>
    </w:p>
    <w:p>
      <w:pPr>
        <w:spacing w:after="140"/>
      </w:pPr>
      <w:r>
        <w:t xml:space="preserve">La partie visée peut interjeter appel par écrit dans les 30 jours. Un comité d'appel indépendant, dont aucun membre n'a participé à la décision initiale, réexamine le dossier.</w:t>
      </w:r>
    </w:p>
    <w:p>
      <w:pPr>
        <w:pStyle w:val="Heading2"/>
      </w:pPr>
      <w:r>
        <w:t xml:space="preserve">7. Confidentialité et bonne foi</w:t>
      </w:r>
    </w:p>
    <w:p>
      <w:pPr>
        <w:spacing w:after="140"/>
      </w:pPr>
      <w:r>
        <w:t xml:space="preserve">Le processus est confidentiel. Les plaintes faites de mauvaise foi ou de manière vexatoire peuvent elles-mêmes faire l'objet de mesures.</w:t>
      </w:r>
    </w:p>
    <w:p>
      <w:pPr>
        <w:pStyle w:val="Heading2"/>
      </w:pPr>
      <w:r>
        <w:t xml:space="preserve">8. Registre</w:t>
      </w:r>
    </w:p>
    <w:p>
      <w:pPr>
        <w:spacing w:after="140"/>
      </w:pPr>
      <w:r>
        <w:t xml:space="preserve">L'Association tient un registre confidentiel des plaintes et de leur issue à des fins de reddition de comptes.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Traitement des plaintes / Complaints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Politique de traitement des plaintes / Complaints-Handling Policy</dc:title>
  <dc:creator>APCNB / NBPAC</dc:creator>
  <cp:lastModifiedBy>Un-named</cp:lastModifiedBy>
  <cp:revision>1</cp:revision>
  <dcterms:created xsi:type="dcterms:W3CDTF">2026-09-09T02:05:41.313Z</dcterms:created>
  <dcterms:modified xsi:type="dcterms:W3CDTF">2026-09-09T02:05:41.313Z</dcterms:modified>
</cp:coreProperties>
</file>

<file path=docProps/custom.xml><?xml version="1.0" encoding="utf-8"?>
<Properties xmlns="http://schemas.openxmlformats.org/officeDocument/2006/custom-properties" xmlns:vt="http://schemas.openxmlformats.org/officeDocument/2006/docPropsVTypes"/>
</file>