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FRANÇAIS</w:t>
      </w:r>
    </w:p>
    <w:p>
      <w:pPr>
        <w:pStyle w:val="Heading1"/>
      </w:pPr>
      <w:r>
        <w:t xml:space="preserve">Politique de formation continue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Organisme : </w:t>
      </w:r>
      <w:r>
        <w:rPr>
          <w:color w:val="5B6675"/>
        </w:rPr>
        <w:t xml:space="preserve">Association professionnelle de criminologie du Nouveau-Brunswick (APCNB)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Adopté le : </w:t>
      </w:r>
      <w:r>
        <w:rPr>
          <w:color w:val="5B6675"/>
        </w:rPr>
        <w:t xml:space="preserve">2 juin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La formation continue garantit que les membres maintiennent et développent leurs compétences au profit du public et de la profession.</w:t>
      </w:r>
    </w:p>
    <w:p>
      <w:pPr>
        <w:pStyle w:val="Heading2"/>
      </w:pPr>
      <w:r>
        <w:t xml:space="preserve">1. Exigence annuelle</w:t>
      </w:r>
    </w:p>
    <w:p>
      <w:pPr>
        <w:spacing w:after="140"/>
      </w:pPr>
      <w:r>
        <w:t xml:space="preserve">Chaque membre régulier doit accumuler au moins </w:t>
      </w:r>
      <w:r>
        <w:rPr>
          <w:b/>
          <w:bCs/>
        </w:rPr>
        <w:t xml:space="preserve">20 unités de formation continue (UFC)</w:t>
      </w:r>
      <w:r>
        <w:t xml:space="preserve"> par année, dont au moins 3 portant sur l'éthique professionnelle. Une UFC équivaut à une heure d'activité reconnue.</w:t>
      </w:r>
    </w:p>
    <w:p>
      <w:pPr>
        <w:pStyle w:val="Heading2"/>
      </w:pPr>
      <w:r>
        <w:t xml:space="preserve">2. Activités admissibles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tblHeader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Type d'activité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Plafond annuel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Cours, ateliers et conférences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20 UFC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Formation en ligne reconnue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10 UFC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Présentation ou enseignement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8 UFC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Publication ou recherche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8 UFC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Participation à un comité professionnel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5 UFC</w:t>
            </w:r>
          </w:p>
        </w:tc>
      </w:tr>
    </w:tbl>
    <w:p>
      <w:pPr>
        <w:spacing w:after="120"/>
      </w:pPr>
    </w:p>
    <w:p>
      <w:pPr>
        <w:pStyle w:val="Heading2"/>
      </w:pPr>
      <w:r>
        <w:t xml:space="preserve">3. Déclaration et preuves</w:t>
      </w:r>
    </w:p>
    <w:p>
      <w:pPr>
        <w:spacing w:after="140"/>
      </w:pPr>
      <w:r>
        <w:t xml:space="preserve">Les membres consignent leurs activités et conservent les pièces justificatives pendant trois ans. Une déclaration annuelle est soumise au renouvellement.</w:t>
      </w:r>
    </w:p>
    <w:p>
      <w:pPr>
        <w:pStyle w:val="Heading2"/>
      </w:pPr>
      <w:r>
        <w:t xml:space="preserve">4. Vérification</w:t>
      </w:r>
    </w:p>
    <w:p>
      <w:pPr>
        <w:spacing w:after="140"/>
      </w:pPr>
      <w:r>
        <w:t xml:space="preserve">Le comité de formation continue peut vérifier de façon aléatoire les déclarations. Le défaut de satisfaire à l'exigence peut entraîner un plan de redressement ou la suspension.</w:t>
      </w:r>
    </w:p>
    <w:p>
      <w:pPr>
        <w:pStyle w:val="Heading2"/>
      </w:pPr>
      <w:r>
        <w:t xml:space="preserve">5. Accès bilingue</w:t>
      </w:r>
    </w:p>
    <w:p>
      <w:pPr>
        <w:spacing w:after="140"/>
      </w:pPr>
      <w:r>
        <w:t xml:space="preserve">L'Association s'efforce d'offrir ou de reconnaître des activités en français et en anglais, afin que tous les membres satisfassent à leurs exigences dans la langue de leur choix.</w:t>
      </w:r>
    </w:p>
    <w:p>
      <w:pPr>
        <w:pStyle w:val="Heading2"/>
      </w:pPr>
      <w:r>
        <w:t xml:space="preserve">6. Exemptions</w:t>
      </w:r>
    </w:p>
    <w:p>
      <w:pPr>
        <w:spacing w:after="140"/>
      </w:pPr>
      <w:r>
        <w:t xml:space="preserve">Des exemptions partielles peuvent être accordées pour congé parental, maladie prolongée ou autres motifs valables, sur demande au comité.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Formation continue / CPD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Politique de formation continue / Continuing Professional Development Policy</dc:title>
  <dc:creator>APCNB / NBPAC</dc:creator>
  <cp:lastModifiedBy>Un-named</cp:lastModifiedBy>
  <cp:revision>1</cp:revision>
  <dcterms:created xsi:type="dcterms:W3CDTF">2026-09-09T02:05:41.289Z</dcterms:created>
  <dcterms:modified xsi:type="dcterms:W3CDTF">2026-09-09T02:05:41.289Z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