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Politique d'adhésion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pStyle w:val="Heading2"/>
      </w:pPr>
      <w:r>
        <w:t xml:space="preserve">1. Objet</w:t>
      </w:r>
    </w:p>
    <w:p>
      <w:pPr>
        <w:spacing w:after="140"/>
      </w:pPr>
      <w:r>
        <w:t xml:space="preserve">La présente politique définit les catégories de membres, les critères d'admission, les cotisations et les conditions de maintien de la qualité de membre.</w:t>
      </w:r>
    </w:p>
    <w:p>
      <w:pPr>
        <w:pStyle w:val="Heading2"/>
      </w:pPr>
      <w:r>
        <w:t xml:space="preserve">2. Catégories et critères d'admission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Catégorie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Critères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5263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color w:val="FFFFFF"/>
              </w:rPr>
              <w:t xml:space="preserve">Cotisation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Membre régulier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Diplôme universitaire en criminologie ou domaine connexe et fonctions pertinentes.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125 $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Membre étudiant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Inscription à un programme reconnu de criminologie ou de justice pénale.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Gratuit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Membre associé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Professionnel d'une discipline connexe appuyant les objets de l'Association.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7F4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90 $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Membre honoraire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Personne nommée par le conseil pour sa contribution exceptionnelle.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t xml:space="preserve">Sans frais</w:t>
            </w:r>
          </w:p>
        </w:tc>
      </w:tr>
    </w:tbl>
    <w:p>
      <w:pPr>
        <w:spacing w:after="120"/>
      </w:pPr>
    </w:p>
    <w:p>
      <w:pPr>
        <w:pStyle w:val="Heading2"/>
      </w:pPr>
      <w:r>
        <w:t xml:space="preserve">3. Processus d'admission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Soumission du formulaire d'adhésion et des pièces justificatives.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Examen du dossier par le comité d'admission.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Engagement écrit à respecter le Code de déontologie.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Paiement de la cotisation et confirmation de l'adhésion.</w:t>
      </w:r>
    </w:p>
    <w:p>
      <w:pPr>
        <w:pStyle w:val="Heading2"/>
      </w:pPr>
      <w:r>
        <w:t xml:space="preserve">4. Droits et obligations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Tous les membres reçoivent les services dans la langue officielle de leur choix.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Seuls les membres réguliers en règle votent et sont éligibles.</w:t>
      </w:r>
    </w:p>
    <w:p>
      <w:pPr>
        <w:pStyle w:val="ListParagraph"/>
        <w:numPr>
          <w:ilvl w:val="0"/>
          <w:numId w:val="3"/>
        </w:numPr>
        <w:spacing w:after="60"/>
      </w:pPr>
      <w:r>
        <w:t xml:space="preserve">Tout membre respecte les statuts, les politiques et le code de déontologie.</w:t>
      </w:r>
    </w:p>
    <w:p>
      <w:pPr>
        <w:pStyle w:val="Heading2"/>
      </w:pPr>
      <w:r>
        <w:t xml:space="preserve">5. Renouvellement</w:t>
      </w:r>
    </w:p>
    <w:p>
      <w:pPr>
        <w:spacing w:after="140"/>
      </w:pPr>
      <w:r>
        <w:t xml:space="preserve">L'adhésion se renouvelle annuellement. Un avis est transmis 30 jours avant l'échéance. Le non-paiement dans les 60 jours entraîne la suspension.</w:t>
      </w:r>
    </w:p>
    <w:p>
      <w:pPr>
        <w:pStyle w:val="Heading2"/>
      </w:pPr>
      <w:r>
        <w:t xml:space="preserve">6. Démission et réadmission</w:t>
      </w:r>
    </w:p>
    <w:p>
      <w:pPr>
        <w:spacing w:after="140"/>
      </w:pPr>
      <w:r>
        <w:t xml:space="preserve">Un membre peut démissionner par avis écrit. La réadmission est possible sur paiement des cotisations dues et examen du dossier.</w:t>
      </w:r>
    </w:p>
    <w:p>
      <w:pPr>
        <w:pStyle w:val="Heading2"/>
      </w:pPr>
      <w:r>
        <w:t xml:space="preserve">7. Protection des renseignements</w:t>
      </w:r>
    </w:p>
    <w:p>
      <w:pPr>
        <w:spacing w:after="140"/>
      </w:pPr>
      <w:r>
        <w:t xml:space="preserve">Les renseignements recueillis sont traités conformément à la Politique de confidentialité.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Politique d'adhésion / Membership Policy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Politique d'adhésion / Membership Policy</dc:title>
  <dc:creator>APCNB / NBPAC</dc:creator>
  <cp:lastModifiedBy>Un-named</cp:lastModifiedBy>
  <cp:revision>1</cp:revision>
  <dcterms:created xsi:type="dcterms:W3CDTF">2026-09-09T02:05:41.263Z</dcterms:created>
  <dcterms:modified xsi:type="dcterms:W3CDTF">2026-09-09T02:05:41.263Z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