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rPr>
          <w:b/>
          <w:bCs/>
          <w:color w:val="B08A3E"/>
          <w:sz w:val="18"/>
          <w:szCs w:val="18"/>
        </w:rPr>
        <w:t xml:space="preserve">FRANÇAIS</w:t>
      </w:r>
    </w:p>
    <w:p>
      <w:pPr>
        <w:pStyle w:val="Heading1"/>
      </w:pPr>
      <w:r>
        <w:t xml:space="preserve">Politique d'accréditation des formations</w:t>
      </w:r>
    </w:p>
    <w:p>
      <w:pPr>
        <w:pBdr>
          <w:bottom w:val="single" w:color="B08A3E" w:sz="12" w:space="6"/>
        </w:pBdr>
        <w:spacing w:after="40"/>
      </w:pPr>
    </w:p>
    <w:p>
      <w:pPr>
        <w:spacing w:after="20" w:before="60"/>
      </w:pPr>
      <w:r>
        <w:rPr>
          <w:b/>
          <w:bCs/>
          <w:color w:val="15263F"/>
        </w:rPr>
        <w:t xml:space="preserve">Organisme : </w:t>
      </w:r>
      <w:r>
        <w:rPr>
          <w:color w:val="5B6675"/>
        </w:rPr>
        <w:t xml:space="preserve">Association professionnelle de criminologie du Nouveau-Brunswick (APCNB)</w:t>
      </w:r>
    </w:p>
    <w:p>
      <w:pPr>
        <w:spacing w:after="220"/>
      </w:pPr>
      <w:r>
        <w:rPr>
          <w:b/>
          <w:bCs/>
          <w:color w:val="15263F"/>
        </w:rPr>
        <w:t xml:space="preserve">Version : </w:t>
      </w:r>
      <w:r>
        <w:rPr>
          <w:color w:val="5B6675"/>
        </w:rPr>
        <w:t xml:space="preserve">1.0    </w:t>
      </w:r>
      <w:r>
        <w:rPr>
          <w:b/>
          <w:bCs/>
          <w:color w:val="15263F"/>
        </w:rPr>
        <w:t xml:space="preserve">Adopté le : </w:t>
      </w:r>
      <w:r>
        <w:rPr>
          <w:color w:val="5B6675"/>
        </w:rPr>
        <w:t xml:space="preserve">2 juin 2026</w:t>
      </w:r>
    </w:p>
    <w:p>
      <w:pPr>
        <w:spacing w:after="200"/>
      </w:pPr>
      <w:r>
        <w:rPr>
          <w:i/>
          <w:iCs/>
          <w:color w:val="5B6675"/>
          <w:sz w:val="24"/>
          <w:szCs w:val="24"/>
        </w:rPr>
        <w:t xml:space="preserve">La présente politique encadre l'accréditation des activités de formation continue et l'attribution des unités de formation continue (UFC), y compris pour les formations offertes par des partenaires externes.</w:t>
      </w:r>
    </w:p>
    <w:p>
      <w:pPr>
        <w:pStyle w:val="Heading2"/>
      </w:pPr>
      <w:r>
        <w:t xml:space="preserve">1. Objet</w:t>
      </w:r>
    </w:p>
    <w:p>
      <w:pPr>
        <w:spacing w:after="140"/>
      </w:pPr>
      <w:r>
        <w:t xml:space="preserve">Assurer la qualité, la pertinence et la rigueur des formations reconnues par l'APCNB, et préciser le rôle des formateurs et partenaires externes.</w:t>
      </w:r>
    </w:p>
    <w:p>
      <w:pPr>
        <w:pStyle w:val="Heading2"/>
      </w:pPr>
      <w:r>
        <w:t xml:space="preserve">2. Champ d'application</w:t>
      </w:r>
    </w:p>
    <w:p>
      <w:pPr>
        <w:spacing w:after="140"/>
      </w:pPr>
      <w:r>
        <w:t xml:space="preserve">La politique s'applique aux formations </w:t>
      </w:r>
      <w:r>
        <w:rPr>
          <w:b/>
          <w:bCs/>
        </w:rPr>
        <w:t xml:space="preserve">synchrones</w:t>
      </w:r>
      <w:r>
        <w:t xml:space="preserve"> (en direct : webinaires, ateliers) et </w:t>
      </w:r>
      <w:r>
        <w:rPr>
          <w:b/>
          <w:bCs/>
        </w:rPr>
        <w:t xml:space="preserve">asynchrones</w:t>
      </w:r>
      <w:r>
        <w:t xml:space="preserve"> (à votre rythme : cours en ligne, modules enregistrés), qu'elles soient conçues par l'Association ou par des partenaires (universités, organismes, professionnels).</w:t>
      </w:r>
    </w:p>
    <w:p>
      <w:pPr>
        <w:pStyle w:val="Heading2"/>
      </w:pPr>
      <w:r>
        <w:t xml:space="preserve">3. Critères d'accréditation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Pertinence au champ d'exercice du criminologue (crime et justice) et aux besoins de la profession.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Objectifs d'apprentissage clairs et mesurables.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Contenu rigoureux, à jour et fondé sur des données probantes.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Qualifications du formateur : expertise universitaire ou professionnelle reconnue.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Méthode de confirmation de la participation (présence, évaluation ou attestation).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Respect de la déontologie et des limites du champ d'exercice; aucun acte réservé à une profession réglementée.</w:t>
      </w:r>
    </w:p>
    <w:p>
      <w:pPr>
        <w:pStyle w:val="Heading2"/>
      </w:pPr>
      <w:r>
        <w:t xml:space="preserve">4. Attribution des UFC</w:t>
      </w:r>
    </w:p>
    <w:p>
      <w:pPr>
        <w:spacing w:after="140"/>
      </w:pPr>
      <w:r>
        <w:t xml:space="preserve">Une UFC équivaut à une heure d'activité reconnue. Les UFC accordées comptent pour l'exigence annuelle prévue à la Politique de formation continue (20 UFC par année pour les membres réguliers, dont au moins 3 en éthique). Les plafonds par type d'activité s'appliquent.</w:t>
      </w:r>
    </w:p>
    <w:p>
      <w:pPr>
        <w:pStyle w:val="Heading2"/>
      </w:pPr>
      <w:r>
        <w:t xml:space="preserve">5. Formateurs externes et partenaires</w:t>
      </w:r>
    </w:p>
    <w:p>
      <w:pPr>
        <w:spacing w:after="140"/>
      </w:pPr>
      <w:r>
        <w:t xml:space="preserve">L'Association peut reconnaître des formations conçues ou données par des universités — notamment dans le cadre de partenariats visés, comme avec l'Université de Moncton — ainsi que par des professionnels du domaine. Une entente écrite précise les rôles, la propriété du contenu, la langue d'offre et les modalités d'accréditation.</w:t>
      </w:r>
    </w:p>
    <w:p>
      <w:pPr>
        <w:pStyle w:val="Heading2"/>
      </w:pPr>
      <w:r>
        <w:t xml:space="preserve">6. Processus de demande</w:t>
      </w:r>
    </w:p>
    <w:p>
      <w:pPr>
        <w:pStyle w:val="ListParagraph"/>
        <w:numPr>
          <w:ilvl w:val="0"/>
          <w:numId w:val="3"/>
        </w:numPr>
        <w:spacing w:after="60"/>
      </w:pPr>
      <w:r>
        <w:t xml:space="preserve">Soumission de la proposition (titre, format, objectifs, durée, UFC proposées, qualifications du formateur).</w:t>
      </w:r>
    </w:p>
    <w:p>
      <w:pPr>
        <w:pStyle w:val="ListParagraph"/>
        <w:numPr>
          <w:ilvl w:val="0"/>
          <w:numId w:val="3"/>
        </w:numPr>
        <w:spacing w:after="60"/>
      </w:pPr>
      <w:r>
        <w:t xml:space="preserve">Évaluation par le comité de formation continue selon les critères ci-dessus.</w:t>
      </w:r>
    </w:p>
    <w:p>
      <w:pPr>
        <w:pStyle w:val="ListParagraph"/>
        <w:numPr>
          <w:ilvl w:val="0"/>
          <w:numId w:val="3"/>
        </w:numPr>
        <w:spacing w:after="60"/>
      </w:pPr>
      <w:r>
        <w:t xml:space="preserve">Décision motivée communiquée au demandeur.</w:t>
      </w:r>
    </w:p>
    <w:p>
      <w:pPr>
        <w:pStyle w:val="ListParagraph"/>
        <w:numPr>
          <w:ilvl w:val="0"/>
          <w:numId w:val="3"/>
        </w:numPr>
        <w:spacing w:after="60"/>
      </w:pPr>
      <w:r>
        <w:t xml:space="preserve">Accréditation valide pour une période déterminée (p. ex. trois ans), renouvelable.</w:t>
      </w:r>
    </w:p>
    <w:p>
      <w:pPr>
        <w:pStyle w:val="ListParagraph"/>
        <w:numPr>
          <w:ilvl w:val="0"/>
          <w:numId w:val="3"/>
        </w:numPr>
        <w:spacing w:after="60"/>
      </w:pPr>
      <w:r>
        <w:t xml:space="preserve">Suivi de la qualité et rétroaction des participants.</w:t>
      </w:r>
    </w:p>
    <w:p>
      <w:pPr>
        <w:pStyle w:val="Heading2"/>
      </w:pPr>
      <w:r>
        <w:t xml:space="preserve">7. Bilinguisme</w:t>
      </w:r>
    </w:p>
    <w:p>
      <w:pPr>
        <w:spacing w:after="140"/>
      </w:pPr>
      <w:r>
        <w:t xml:space="preserve">L'Association favorise l'offre de formations dans les deux langues officielles et encourage les partenaires à rendre leur contenu accessible en français et en anglais.</w:t>
      </w:r>
    </w:p>
    <w:p>
      <w:pPr>
        <w:pStyle w:val="Heading2"/>
      </w:pPr>
      <w:r>
        <w:t xml:space="preserve">8. Registre et révision</w:t>
      </w:r>
    </w:p>
    <w:p>
      <w:pPr>
        <w:spacing w:after="140"/>
      </w:pPr>
      <w:r>
        <w:t xml:space="preserve">L'Association tient un registre des formations accréditées et révise périodiquement la présente politique.</w:t>
      </w:r>
    </w:p>
    <w:p>
      <w:pPr>
        <w:pBdr>
          <w:left w:val="single" w:color="B08A3E" w:sz="18" w:space="8"/>
        </w:pBdr>
        <w:shd w:fill="F4EEDD" w:val="clear"/>
        <w:spacing w:after="160" w:before="120"/>
      </w:pPr>
      <w:r>
        <w:t xml:space="preserve">Avis : Cette politique oriente la reconnaissance des formations. Toute entente de partenariat ou d'accréditation devrait être validée par un conseiller juridique du Nouveau-Brunswick.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CCCCCC" w:sz="6" w:space="6"/>
      </w:pBdr>
      <w:jc w:val="center"/>
    </w:pPr>
    <w:r>
      <w:rPr>
        <w:color w:val="5B6675"/>
        <w:sz w:val="15"/>
        <w:szCs w:val="15"/>
      </w:rPr>
      <w:t xml:space="preserve">C.P. 0000, Fredericton (Nouveau-Brunswick) E3B 0A0   ·   info@apcnb.ca   ·   </w:t>
    </w:r>
    <w:r>
      <w:rPr>
        <w:color w:val="5B6675"/>
        <w:sz w:val="15"/>
        <w:szCs w:val="15"/>
      </w:rPr>
      <w:fldChar w:fldCharType="begin"/>
      <w:instrText xml:space="preserve">PAGE</w:instrText>
      <w:fldChar w:fldCharType="separate"/>
      <w:fldChar w:fldCharType="end"/>
    </w:r>
    <w:r>
      <w:rPr>
        <w:color w:val="5B6675"/>
        <w:sz w:val="15"/>
        <w:szCs w:val="15"/>
      </w:rPr>
      <w:t xml:space="preserve">/</w:t>
    </w:r>
    <w:r>
      <w:rPr>
        <w:color w:val="5B6675"/>
        <w:sz w:val="15"/>
        <w:szCs w:val="15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CCCCCC" w:sz="6" w:space="6"/>
      </w:pBdr>
      <w:tabs>
        <w:tab w:val="right" w:pos="9360"/>
      </w:tabs>
      <w:spacing w:after="60"/>
    </w:pPr>
    <w:r>
      <w:drawing>
        <wp:inline distT="0" distB="0" distL="0" distR="0">
          <wp:extent cx="285750" cy="285750"/>
          <wp:effectExtent t="0" r="0" b="0" l="0"/>
          <wp:docPr id="1" name="logo" descr="Sceau" title="APCN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bCs/>
        <w:color w:val="15263F"/>
        <w:sz w:val="18"/>
        <w:szCs w:val="18"/>
      </w:rPr>
      <w:t xml:space="preserve">  APCNB · NBPAC</w:t>
    </w:r>
    <w:r>
      <w:rPr>
        <w:color w:val="5B6675"/>
        <w:sz w:val="16"/>
        <w:szCs w:val="16"/>
      </w:rPr>
      <w:t xml:space="preserve">	Accréditation des formations / Training accreditation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60" w:hanging="28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560" w:hanging="28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B2330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120"/>
      <w:outlineLvl w:val="0"/>
    </w:pPr>
    <w:rPr>
      <w:rFonts w:ascii="Georgia" w:cs="Georgia" w:eastAsia="Georgia" w:hAnsi="Georgia"/>
      <w:b/>
      <w:bCs/>
      <w:color w:val="15263F"/>
      <w:sz w:val="34"/>
      <w:szCs w:val="34"/>
    </w:rPr>
  </w:style>
  <w:style w:type="paragraph" w:styleId="Heading2">
    <w:name w:val="Heading 2"/>
    <w:basedOn w:val="Normal"/>
    <w:next w:val="Normal"/>
    <w:qFormat/>
    <w:pPr>
      <w:spacing w:after="100" w:before="240"/>
      <w:outlineLvl w:val="1"/>
    </w:pPr>
    <w:rPr>
      <w:rFonts w:ascii="Georgia" w:cs="Georgia" w:eastAsia="Georgia" w:hAnsi="Georgia"/>
      <w:b/>
      <w:bCs/>
      <w:color w:val="15263F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3c6fb9fb65dd3b7dedf4e6e2050424e5d6341c68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Politique d'accréditation des formations / Training-Accreditation Policy</dc:title>
  <dc:creator>APCNB / NBPAC</dc:creator>
  <cp:lastModifiedBy>Un-named</cp:lastModifiedBy>
  <cp:revision>1</cp:revision>
  <dcterms:created xsi:type="dcterms:W3CDTF">2026-09-09T02:05:41.636Z</dcterms:created>
  <dcterms:modified xsi:type="dcterms:W3CDTF">2026-09-09T02:05:41.636Z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