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b/>
          <w:bCs/>
          <w:color w:val="B08A3E"/>
          <w:sz w:val="18"/>
          <w:szCs w:val="18"/>
        </w:rPr>
        <w:t xml:space="preserve">FRANÇAIS</w:t>
      </w:r>
    </w:p>
    <w:p>
      <w:pPr>
        <w:pStyle w:val="Heading1"/>
      </w:pPr>
      <w:r>
        <w:t xml:space="preserve">Adhésion — guide détaillé</w:t>
      </w:r>
    </w:p>
    <w:p>
      <w:pPr>
        <w:pBdr>
          <w:bottom w:val="single" w:color="B08A3E" w:sz="12" w:space="6"/>
        </w:pBdr>
        <w:spacing w:after="40"/>
      </w:pPr>
    </w:p>
    <w:p>
      <w:pPr>
        <w:spacing w:after="20" w:before="60"/>
      </w:pPr>
      <w:r>
        <w:rPr>
          <w:b/>
          <w:bCs/>
          <w:color w:val="15263F"/>
        </w:rPr>
        <w:t xml:space="preserve">Organisme : </w:t>
      </w:r>
      <w:r>
        <w:rPr>
          <w:color w:val="5B6675"/>
        </w:rPr>
        <w:t xml:space="preserve">Association professionnelle de criminologie du Nouveau-Brunswick (APCNB)</w:t>
      </w:r>
    </w:p>
    <w:p>
      <w:pPr>
        <w:spacing w:after="220"/>
      </w:pPr>
      <w:r>
        <w:rPr>
          <w:b/>
          <w:bCs/>
          <w:color w:val="15263F"/>
        </w:rPr>
        <w:t xml:space="preserve">Version : </w:t>
      </w:r>
      <w:r>
        <w:rPr>
          <w:color w:val="5B6675"/>
        </w:rPr>
        <w:t xml:space="preserve">1.0    </w:t>
      </w:r>
      <w:r>
        <w:rPr>
          <w:b/>
          <w:bCs/>
          <w:color w:val="15263F"/>
        </w:rPr>
        <w:t xml:space="preserve">Adopté le : </w:t>
      </w:r>
      <w:r>
        <w:rPr>
          <w:color w:val="5B6675"/>
        </w:rPr>
        <w:t xml:space="preserve">2 juin 2026</w:t>
      </w:r>
    </w:p>
    <w:p>
      <w:pPr>
        <w:spacing w:after="200"/>
      </w:pPr>
      <w:r>
        <w:rPr>
          <w:i/>
          <w:iCs/>
          <w:color w:val="5B6675"/>
          <w:sz w:val="24"/>
          <w:szCs w:val="24"/>
        </w:rPr>
        <w:t xml:space="preserve">Tout ce qu'il faut savoir pour devenir membre de l'APCNB.</w:t>
      </w:r>
    </w:p>
    <w:p>
      <w:pPr>
        <w:pStyle w:val="Heading2"/>
      </w:pPr>
      <w:r>
        <w:t xml:space="preserve">Catégories et cotisations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CCCCCC" w:sz="1"/>
              <w:left w:val="single" w:color="CCCCCC" w:sz="1"/>
              <w:bottom w:val="single" w:color="CCCCCC" w:sz="1"/>
              <w:right w:val="single" w:color="CCCCCC" w:sz="1"/>
            </w:tcBorders>
            <w:shd w:fill="15263F" w:val="clear"/>
            <w:tcMar>
              <w:top w:type="dxa" w:w="80"/>
              <w:left w:type="dxa" w:w="120"/>
              <w:bottom w:type="dxa" w:w="80"/>
              <w:right w:type="dxa" w:w="120"/>
            </w:tcMar>
          </w:tcPr>
          <w:p>
            <w:r>
              <w:rPr>
                <w:b/>
                <w:bCs/>
                <w:color w:val="FFFFFF"/>
              </w:rPr>
              <w:t xml:space="preserve">Catégorie</w:t>
            </w:r>
          </w:p>
        </w:tc>
        <w:tc>
          <w:tcPr>
            <w:tcW w:type="dxa" w:w="3120"/>
            <w:tcBorders>
              <w:top w:val="single" w:color="CCCCCC" w:sz="1"/>
              <w:left w:val="single" w:color="CCCCCC" w:sz="1"/>
              <w:bottom w:val="single" w:color="CCCCCC" w:sz="1"/>
              <w:right w:val="single" w:color="CCCCCC" w:sz="1"/>
            </w:tcBorders>
            <w:shd w:fill="15263F" w:val="clear"/>
            <w:tcMar>
              <w:top w:type="dxa" w:w="80"/>
              <w:left w:type="dxa" w:w="120"/>
              <w:bottom w:type="dxa" w:w="80"/>
              <w:right w:type="dxa" w:w="120"/>
            </w:tcMar>
          </w:tcPr>
          <w:p>
            <w:r>
              <w:rPr>
                <w:b/>
                <w:bCs/>
                <w:color w:val="FFFFFF"/>
              </w:rPr>
              <w:t xml:space="preserve">Admissibilité</w:t>
            </w:r>
          </w:p>
        </w:tc>
        <w:tc>
          <w:tcPr>
            <w:tcW w:type="dxa" w:w="3120"/>
            <w:tcBorders>
              <w:top w:val="single" w:color="CCCCCC" w:sz="1"/>
              <w:left w:val="single" w:color="CCCCCC" w:sz="1"/>
              <w:bottom w:val="single" w:color="CCCCCC" w:sz="1"/>
              <w:right w:val="single" w:color="CCCCCC" w:sz="1"/>
            </w:tcBorders>
            <w:shd w:fill="15263F" w:val="clear"/>
            <w:tcMar>
              <w:top w:type="dxa" w:w="80"/>
              <w:left w:type="dxa" w:w="120"/>
              <w:bottom w:type="dxa" w:w="80"/>
              <w:right w:type="dxa" w:w="120"/>
            </w:tcMar>
          </w:tcPr>
          <w:p>
            <w:r>
              <w:rPr>
                <w:b/>
                <w:bCs/>
                <w:color w:val="FFFFFF"/>
              </w:rPr>
              <w:t xml:space="preserve">Cotisation</w:t>
            </w:r>
          </w:p>
        </w:tc>
      </w:tr>
      <w:tr>
        <w:tc>
          <w:tcPr>
            <w:tcW w:type="dxa" w:w="312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Membre régulier</w:t>
            </w:r>
          </w:p>
        </w:tc>
        <w:tc>
          <w:tcPr>
            <w:tcW w:type="dxa" w:w="312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Diplôme universitaire en criminologie ou domaine connexe, exerçant dans le domaine</w:t>
            </w:r>
          </w:p>
        </w:tc>
        <w:tc>
          <w:tcPr>
            <w:tcW w:type="dxa" w:w="312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125 $</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Membre étudiant</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Inscription à un programme reconnu de criminologie ou de justice pénale</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Gratuit</w:t>
            </w:r>
          </w:p>
        </w:tc>
      </w:tr>
      <w:tr>
        <w:tc>
          <w:tcPr>
            <w:tcW w:type="dxa" w:w="312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Membre associé</w:t>
            </w:r>
          </w:p>
        </w:tc>
        <w:tc>
          <w:tcPr>
            <w:tcW w:type="dxa" w:w="312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Professionnel d'une discipline connexe appuyant nos objectifs</w:t>
            </w:r>
          </w:p>
        </w:tc>
        <w:tc>
          <w:tcPr>
            <w:tcW w:type="dxa" w:w="312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90 $</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Membre honoraire</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Personne nommée par le conseil pour sa contribution exceptionnelle</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Sans frais</w:t>
            </w:r>
          </w:p>
        </w:tc>
      </w:tr>
    </w:tbl>
    <w:p>
      <w:pPr>
        <w:spacing w:after="120"/>
      </w:pPr>
    </w:p>
    <w:p>
      <w:pPr>
        <w:pStyle w:val="Heading2"/>
      </w:pPr>
      <w:r>
        <w:t xml:space="preserve">Critères d'admission</w:t>
      </w:r>
    </w:p>
    <w:p>
      <w:pPr>
        <w:pStyle w:val="ListParagraph"/>
        <w:numPr>
          <w:ilvl w:val="0"/>
          <w:numId w:val="2"/>
        </w:numPr>
        <w:spacing w:after="60"/>
      </w:pPr>
      <w:r>
        <w:t xml:space="preserve">Diplôme pertinent d'un établissement reconnu (ou inscription en cours pour les membres étudiants).</w:t>
      </w:r>
    </w:p>
    <w:p>
      <w:pPr>
        <w:pStyle w:val="ListParagraph"/>
        <w:numPr>
          <w:ilvl w:val="0"/>
          <w:numId w:val="2"/>
        </w:numPr>
        <w:spacing w:after="60"/>
      </w:pPr>
      <w:r>
        <w:t xml:space="preserve">Engagement écrit à respecter le Code de déontologie et les statuts.</w:t>
      </w:r>
    </w:p>
    <w:p>
      <w:pPr>
        <w:pStyle w:val="ListParagraph"/>
        <w:numPr>
          <w:ilvl w:val="0"/>
          <w:numId w:val="2"/>
        </w:numPr>
        <w:spacing w:after="60"/>
      </w:pPr>
      <w:r>
        <w:t xml:space="preserve">Renseignements exacts et pièces justificatives.</w:t>
      </w:r>
    </w:p>
    <w:p>
      <w:pPr>
        <w:pStyle w:val="ListParagraph"/>
        <w:numPr>
          <w:ilvl w:val="0"/>
          <w:numId w:val="2"/>
        </w:numPr>
        <w:spacing w:after="60"/>
      </w:pPr>
      <w:r>
        <w:t xml:space="preserve">Paiement de la cotisation annuelle.</w:t>
      </w:r>
    </w:p>
    <w:p>
      <w:pPr>
        <w:pStyle w:val="Heading2"/>
      </w:pPr>
      <w:r>
        <w:t xml:space="preserve">Équivalence des diplômes obtenus hors province</w:t>
      </w:r>
    </w:p>
    <w:p>
      <w:pPr>
        <w:spacing w:after="140"/>
      </w:pPr>
      <w:r>
        <w:t xml:space="preserve">Les personnes titulaires d'un diplôme obtenu à l'extérieur du Nouveau-Brunswick peuvent demander une reconnaissance d'équivalence. Le comité d'admission évalue le contenu de la formation, le nombre de crédits en criminologie et l'expérience pertinente. Une formation d'appoint peut être exigée.</w:t>
      </w:r>
    </w:p>
    <w:p>
      <w:pPr>
        <w:pStyle w:val="Heading2"/>
      </w:pPr>
      <w:r>
        <w:t xml:space="preserve">Stage et expérience pratique</w:t>
      </w:r>
    </w:p>
    <w:p>
      <w:pPr>
        <w:spacing w:after="140"/>
      </w:pPr>
      <w:r>
        <w:t xml:space="preserve">Pour les candidat·es en début de carrière, un stage supervisé ou une expérience pratique encadrée peut être reconnu dans le cadre de l'admission.</w:t>
      </w:r>
    </w:p>
    <w:p>
      <w:pPr>
        <w:pStyle w:val="Heading2"/>
      </w:pPr>
      <w:r>
        <w:t xml:space="preserve">Exigences linguistiques</w:t>
      </w:r>
    </w:p>
    <w:p>
      <w:pPr>
        <w:spacing w:after="140"/>
      </w:pPr>
      <w:r>
        <w:t xml:space="preserve">Les membres offrent leurs services dans la langue officielle choisie par la personne (français ou anglais) dans la mesure du possible. Aucune compétence dans les deux langues n'est exigée pour adhérer.</w:t>
      </w:r>
    </w:p>
    <w:p>
      <w:pPr>
        <w:pStyle w:val="Heading2"/>
      </w:pPr>
      <w:r>
        <w:t xml:space="preserve">Comment adhérer</w:t>
      </w:r>
    </w:p>
    <w:p>
      <w:pPr>
        <w:pStyle w:val="ListParagraph"/>
        <w:numPr>
          <w:ilvl w:val="0"/>
          <w:numId w:val="3"/>
        </w:numPr>
        <w:spacing w:after="60"/>
      </w:pPr>
      <w:r>
        <w:t xml:space="preserve">Remplir le formulaire d'adhésion et rassembler les pièces justificatives.</w:t>
      </w:r>
    </w:p>
    <w:p>
      <w:pPr>
        <w:pStyle w:val="ListParagraph"/>
        <w:numPr>
          <w:ilvl w:val="0"/>
          <w:numId w:val="3"/>
        </w:numPr>
        <w:spacing w:after="60"/>
      </w:pPr>
      <w:r>
        <w:t xml:space="preserve">Soumettre le dossier au secrétariat.</w:t>
      </w:r>
    </w:p>
    <w:p>
      <w:pPr>
        <w:pStyle w:val="ListParagraph"/>
        <w:numPr>
          <w:ilvl w:val="0"/>
          <w:numId w:val="3"/>
        </w:numPr>
        <w:spacing w:after="60"/>
      </w:pPr>
      <w:r>
        <w:t xml:space="preserve">Examen par le comité d'admission (et équivalence, le cas échéant).</w:t>
      </w:r>
    </w:p>
    <w:p>
      <w:pPr>
        <w:pStyle w:val="ListParagraph"/>
        <w:numPr>
          <w:ilvl w:val="0"/>
          <w:numId w:val="3"/>
        </w:numPr>
        <w:spacing w:after="60"/>
      </w:pPr>
      <w:r>
        <w:t xml:space="preserve">Accepter l'engagement déontologique et acquitter la cotisation.</w:t>
      </w:r>
    </w:p>
    <w:p>
      <w:pPr>
        <w:pStyle w:val="ListParagraph"/>
        <w:numPr>
          <w:ilvl w:val="0"/>
          <w:numId w:val="3"/>
        </w:numPr>
        <w:spacing w:after="60"/>
      </w:pPr>
      <w:r>
        <w:t xml:space="preserve">Recevoir la confirmation d'adhésion et le certificat de membre.</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6" w:space="6"/>
      </w:pBdr>
      <w:jc w:val="center"/>
    </w:pPr>
    <w:r>
      <w:rPr>
        <w:color w:val="5B6675"/>
        <w:sz w:val="15"/>
        <w:szCs w:val="15"/>
      </w:rPr>
      <w:t xml:space="preserve">C.P. 0000, Fredericton (Nouveau-Brunswick) E3B 0A0   ·   info@apcnb.ca   ·   </w:t>
    </w:r>
    <w:r>
      <w:rPr>
        <w:color w:val="5B6675"/>
        <w:sz w:val="15"/>
        <w:szCs w:val="15"/>
      </w:rPr>
      <w:fldChar w:fldCharType="begin"/>
      <w:instrText xml:space="preserve">PAGE</w:instrText>
      <w:fldChar w:fldCharType="separate"/>
      <w:fldChar w:fldCharType="end"/>
    </w:r>
    <w:r>
      <w:rPr>
        <w:color w:val="5B6675"/>
        <w:sz w:val="15"/>
        <w:szCs w:val="15"/>
      </w:rPr>
      <w:t xml:space="preserve">/</w:t>
    </w:r>
    <w:r>
      <w:rPr>
        <w:color w:val="5B6675"/>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CCCCC" w:sz="6" w:space="6"/>
      </w:pBdr>
      <w:tabs>
        <w:tab w:val="right" w:pos="9360"/>
      </w:tabs>
      <w:spacing w:after="60"/>
    </w:pPr>
    <w:r>
      <w:drawing>
        <wp:inline distT="0" distB="0" distL="0" distR="0">
          <wp:extent cx="285750" cy="285750"/>
          <wp:effectExtent t="0" r="0" b="0" l="0"/>
          <wp:docPr id="1" name="logo" descr="Sceau" title="APC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285750" cy="285750"/>
                  </a:xfrm>
                  <a:prstGeom prst="rect">
                    <a:avLst/>
                  </a:prstGeom>
                </pic:spPr>
              </pic:pic>
            </a:graphicData>
          </a:graphic>
        </wp:inline>
      </w:drawing>
    </w:r>
    <w:r>
      <w:rPr>
        <w:b/>
        <w:bCs/>
        <w:color w:val="15263F"/>
        <w:sz w:val="18"/>
        <w:szCs w:val="18"/>
      </w:rPr>
      <w:t xml:space="preserve">  APCNB · NBPAC</w:t>
    </w:r>
    <w:r>
      <w:rPr>
        <w:color w:val="5B6675"/>
        <w:sz w:val="16"/>
        <w:szCs w:val="16"/>
      </w:rPr>
      <w:t xml:space="preserve">	Adhésion — guide / Membership guide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60" w:hanging="280"/>
      </w:pPr>
    </w:lvl>
  </w:abstractNum>
  <w:abstractNum w:abstractNumId="3" w15:restartNumberingAfterBreak="0">
    <w:multiLevelType w:val="hybridMultilevel"/>
    <w:lvl w:ilvl="0" w15:tentative="1">
      <w:start w:val="1"/>
      <w:numFmt w:val="decimal"/>
      <w:lvlText w:val="%1."/>
      <w:lvlJc w:val="left"/>
      <w:pPr>
        <w:ind w:left="560" w:hanging="28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B233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120"/>
      <w:outlineLvl w:val="0"/>
    </w:pPr>
    <w:rPr>
      <w:rFonts w:ascii="Georgia" w:cs="Georgia" w:eastAsia="Georgia" w:hAnsi="Georgia"/>
      <w:b/>
      <w:bCs/>
      <w:color w:val="15263F"/>
      <w:sz w:val="34"/>
      <w:szCs w:val="34"/>
    </w:rPr>
  </w:style>
  <w:style w:type="paragraph" w:styleId="Heading2">
    <w:name w:val="Heading 2"/>
    <w:basedOn w:val="Normal"/>
    <w:next w:val="Normal"/>
    <w:qFormat/>
    <w:pPr>
      <w:spacing w:after="100" w:before="240"/>
      <w:outlineLvl w:val="1"/>
    </w:pPr>
    <w:rPr>
      <w:rFonts w:ascii="Georgia" w:cs="Georgia" w:eastAsia="Georgia" w:hAnsi="Georgia"/>
      <w:b/>
      <w:bCs/>
      <w:color w:val="15263F"/>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3c6fb9fb65dd3b7dedf4e6e2050424e5d6341c68.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Adhésion — guide détaillé / Membership — detailed guide</dc:title>
  <dc:creator>APCNB / NBPAC</dc:creator>
  <cp:lastModifiedBy>Un-named</cp:lastModifiedBy>
  <cp:revision>1</cp:revision>
  <dcterms:created xsi:type="dcterms:W3CDTF">2026-09-09T02:05:41.574Z</dcterms:created>
  <dcterms:modified xsi:type="dcterms:W3CDTF">2026-09-09T02:05:41.574Z</dcterms:modified>
</cp:coreProperties>
</file>

<file path=docProps/custom.xml><?xml version="1.0" encoding="utf-8"?>
<Properties xmlns="http://schemas.openxmlformats.org/officeDocument/2006/custom-properties" xmlns:vt="http://schemas.openxmlformats.org/officeDocument/2006/docPropsVTypes"/>
</file>