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rPr>
          <w:b/>
          <w:bCs/>
          <w:color w:val="B08A3E"/>
          <w:sz w:val="18"/>
          <w:szCs w:val="18"/>
        </w:rPr>
        <w:t xml:space="preserve">FRANÇAIS</w:t>
      </w:r>
    </w:p>
    <w:p>
      <w:pPr>
        <w:pStyle w:val="Heading1"/>
      </w:pPr>
      <w:r>
        <w:t xml:space="preserve">Grille de compétences du criminologue</w:t>
      </w:r>
    </w:p>
    <w:p>
      <w:pPr>
        <w:pBdr>
          <w:bottom w:val="single" w:color="B08A3E" w:sz="12" w:space="6"/>
        </w:pBdr>
        <w:spacing w:after="40"/>
      </w:pPr>
    </w:p>
    <w:p>
      <w:pPr>
        <w:spacing w:after="20" w:before="60"/>
      </w:pPr>
      <w:r>
        <w:rPr>
          <w:b/>
          <w:bCs/>
          <w:color w:val="15263F"/>
        </w:rPr>
        <w:t xml:space="preserve">Organisme : </w:t>
      </w:r>
      <w:r>
        <w:rPr>
          <w:color w:val="5B6675"/>
        </w:rPr>
        <w:t xml:space="preserve">Association professionnelle de criminologie du Nouveau-Brunswick (APCNB)</w:t>
      </w:r>
    </w:p>
    <w:p>
      <w:pPr>
        <w:spacing w:after="220"/>
      </w:pPr>
      <w:r>
        <w:rPr>
          <w:b/>
          <w:bCs/>
          <w:color w:val="15263F"/>
        </w:rPr>
        <w:t xml:space="preserve">Version : </w:t>
      </w:r>
      <w:r>
        <w:rPr>
          <w:color w:val="5B6675"/>
        </w:rPr>
        <w:t xml:space="preserve">1.0    </w:t>
      </w:r>
      <w:r>
        <w:rPr>
          <w:b/>
          <w:bCs/>
          <w:color w:val="15263F"/>
        </w:rPr>
        <w:t xml:space="preserve">Adopté le : </w:t>
      </w:r>
      <w:r>
        <w:rPr>
          <w:color w:val="5B6675"/>
        </w:rPr>
        <w:t xml:space="preserve">2 juin 2026</w:t>
      </w:r>
    </w:p>
    <w:p>
      <w:pPr>
        <w:spacing w:after="200"/>
      </w:pPr>
      <w:r>
        <w:rPr>
          <w:i/>
          <w:iCs/>
          <w:color w:val="5B6675"/>
          <w:sz w:val="24"/>
          <w:szCs w:val="24"/>
        </w:rPr>
        <w:t xml:space="preserve">La présente grille décrit les compétences attendues du criminologue au Nouveau-Brunswick. Elle appuie l'admission, la formation continue et la demande de reconnaissance professionnelle.</w:t>
      </w:r>
    </w:p>
    <w:p>
      <w:pPr>
        <w:pStyle w:val="Heading2"/>
      </w:pPr>
      <w:r>
        <w:t xml:space="preserve">1. Savoirs fondamentaux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Connaître les théories criminologiques et les facteurs de la criminalité et de la victimisation.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Comprendre le système de justice pénale, le droit applicable et les institutions correctionnelles.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Maîtriser les méthodes de recherche et l'analyse de données en sciences sociales.</w:t>
      </w:r>
    </w:p>
    <w:p>
      <w:pPr>
        <w:pStyle w:val="Heading2"/>
      </w:pPr>
      <w:r>
        <w:t xml:space="preserve">2. Évaluation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Évaluer le risque et les besoins criminogènes à l'aide d'outils structurés ou actuariels.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Analyser une situation et formuler des conclusions fondées sur des données probantes.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Reconnaître les limites de son évaluation et s'abstenir de tout diagnostic clinique réservé.</w:t>
      </w:r>
    </w:p>
    <w:p>
      <w:pPr>
        <w:pStyle w:val="Heading2"/>
      </w:pPr>
      <w:r>
        <w:t xml:space="preserve">3. Intervention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Élaborer, mettre en œuvre et évaluer des plans et des programmes d'intervention.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Soutenir la réinsertion sociale et accompagner les personnes victimes (soutien non clinique).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Animer des processus de justice réparatrice et de médiation.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Concevoir des stratégies de prévention de la criminalité et de sécurité communautaire.</w:t>
      </w:r>
    </w:p>
    <w:p>
      <w:pPr>
        <w:pStyle w:val="Heading2"/>
      </w:pPr>
      <w:r>
        <w:t xml:space="preserve">4. Éthique et professionnalisme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Respecter le code de déontologie et les limites de son champ d'exercice.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Diriger la personne vers la profession compétente au besoin (devoir de référence).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Protéger la confidentialité et gérer les conflits d'intérêts.</w:t>
      </w:r>
    </w:p>
    <w:p>
      <w:pPr>
        <w:pStyle w:val="Heading2"/>
      </w:pPr>
      <w:r>
        <w:t xml:space="preserve">5. Communication et collaboration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Rédiger des rapports clairs et témoigner devant les tribunaux dans les limites de sa compétence.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Travailler en interdisciplinarité avec les autres professions.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Offrir ses services dans les deux langues officielles, selon le choix de la personne.</w:t>
      </w:r>
    </w:p>
    <w:p>
      <w:pPr>
        <w:pStyle w:val="Heading2"/>
      </w:pPr>
      <w:r>
        <w:t xml:space="preserve">6. Pensée critique et perfectionnement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Évaluer de façon critique les pratiques et les programmes.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Maintenir et actualiser ses compétences par la formation continue.</w:t>
      </w:r>
    </w:p>
    <w:p>
      <w:pPr>
        <w:pStyle w:val="ListParagraph"/>
        <w:numPr>
          <w:ilvl w:val="0"/>
          <w:numId w:val="2"/>
        </w:numPr>
        <w:spacing w:after="60"/>
      </w:pPr>
      <w:r>
        <w:t xml:space="preserve">Contribuer à l'avancement des connaissances et des politiques.</w:t>
      </w:r>
    </w:p>
    <w:sectPr>
      <w:headerReference w:type="default" r:id="rId7"/>
      <w:footerReference w:type="default" r:id="rId8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6" w:space="6"/>
      </w:pBdr>
      <w:jc w:val="center"/>
    </w:pPr>
    <w:r>
      <w:rPr>
        <w:color w:val="5B6675"/>
        <w:sz w:val="15"/>
        <w:szCs w:val="15"/>
      </w:rPr>
      <w:t xml:space="preserve">C.P. 0000, Fredericton (Nouveau-Brunswick) E3B 0A0   ·   info@apcnb.ca   ·   </w:t>
    </w:r>
    <w:r>
      <w:rPr>
        <w:color w:val="5B6675"/>
        <w:sz w:val="15"/>
        <w:szCs w:val="15"/>
      </w:rPr>
      <w:fldChar w:fldCharType="begin"/>
      <w:instrText xml:space="preserve">PAGE</w:instrText>
      <w:fldChar w:fldCharType="separate"/>
      <w:fldChar w:fldCharType="end"/>
    </w:r>
    <w:r>
      <w:rPr>
        <w:color w:val="5B6675"/>
        <w:sz w:val="15"/>
        <w:szCs w:val="15"/>
      </w:rPr>
      <w:t xml:space="preserve">/</w:t>
    </w:r>
    <w:r>
      <w:rPr>
        <w:color w:val="5B6675"/>
        <w:sz w:val="15"/>
        <w:szCs w:val="15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6" w:space="6"/>
      </w:pBdr>
      <w:tabs>
        <w:tab w:val="right" w:pos="9360"/>
      </w:tabs>
      <w:spacing w:after="60"/>
    </w:pPr>
    <w:r>
      <w:drawing>
        <wp:inline distT="0" distB="0" distL="0" distR="0">
          <wp:extent cx="285750" cy="285750"/>
          <wp:effectExtent t="0" r="0" b="0" l="0"/>
          <wp:docPr id="1" name="logo" descr="Sceau" title="APCN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857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color w:val="15263F"/>
        <w:sz w:val="18"/>
        <w:szCs w:val="18"/>
      </w:rPr>
      <w:t xml:space="preserve">  APCNB · NBPAC</w:t>
    </w:r>
    <w:r>
      <w:rPr>
        <w:color w:val="5B6675"/>
        <w:sz w:val="16"/>
        <w:szCs w:val="16"/>
      </w:rPr>
      <w:t xml:space="preserve">	Grille de compétences / Competency framework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560" w:hanging="28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B2330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120"/>
      <w:outlineLvl w:val="0"/>
    </w:pPr>
    <w:rPr>
      <w:rFonts w:ascii="Georgia" w:cs="Georgia" w:eastAsia="Georgia" w:hAnsi="Georgia"/>
      <w:b/>
      <w:bCs/>
      <w:color w:val="15263F"/>
      <w:sz w:val="34"/>
      <w:szCs w:val="34"/>
    </w:rPr>
  </w:style>
  <w:style w:type="paragraph" w:styleId="Heading2">
    <w:name w:val="Heading 2"/>
    <w:basedOn w:val="Normal"/>
    <w:next w:val="Normal"/>
    <w:qFormat/>
    <w:pPr>
      <w:spacing w:after="100" w:before="240"/>
      <w:outlineLvl w:val="1"/>
    </w:pPr>
    <w:rPr>
      <w:rFonts w:ascii="Georgia" w:cs="Georgia" w:eastAsia="Georgia" w:hAnsi="Georgia"/>
      <w:b/>
      <w:bCs/>
      <w:color w:val="15263F"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3c6fb9fb65dd3b7dedf4e6e2050424e5d6341c68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Grille de compétences du criminologue / Criminologist competency framework</dc:title>
  <dc:creator>APCNB / NBPAC</dc:creator>
  <cp:lastModifiedBy>Un-named</cp:lastModifiedBy>
  <cp:revision>1</cp:revision>
  <dcterms:created xsi:type="dcterms:W3CDTF">2026-09-09T02:05:41.532Z</dcterms:created>
  <dcterms:modified xsi:type="dcterms:W3CDTF">2026-09-09T02:05:41.532Z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