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B08A3E"/>
          <w:sz w:val="18"/>
          <w:szCs w:val="18"/>
        </w:rPr>
        <w:t xml:space="preserve">FRANÇAIS</w:t>
      </w:r>
    </w:p>
    <w:p>
      <w:pPr>
        <w:pStyle w:val="Heading1"/>
      </w:pPr>
      <w:r>
        <w:t xml:space="preserve">Norme de champ d'exercice et de collaboration interprofessionnelle</w:t>
      </w:r>
    </w:p>
    <w:p>
      <w:pPr>
        <w:pBdr>
          <w:bottom w:val="single" w:color="B08A3E" w:sz="12" w:space="6"/>
        </w:pBdr>
        <w:spacing w:after="40"/>
      </w:pPr>
    </w:p>
    <w:p>
      <w:pPr>
        <w:spacing w:after="20" w:before="60"/>
      </w:pPr>
      <w:r>
        <w:rPr>
          <w:b/>
          <w:bCs/>
          <w:color w:val="15263F"/>
        </w:rPr>
        <w:t xml:space="preserve">Organisme : </w:t>
      </w:r>
      <w:r>
        <w:rPr>
          <w:color w:val="5B6675"/>
        </w:rPr>
        <w:t xml:space="preserve">Association professionnelle de criminologie du Nouveau-Brunswick (APCNB)</w:t>
      </w:r>
    </w:p>
    <w:p>
      <w:pPr>
        <w:spacing w:after="220"/>
      </w:pPr>
      <w:r>
        <w:rPr>
          <w:b/>
          <w:bCs/>
          <w:color w:val="15263F"/>
        </w:rPr>
        <w:t xml:space="preserve">Version : </w:t>
      </w:r>
      <w:r>
        <w:rPr>
          <w:color w:val="5B6675"/>
        </w:rPr>
        <w:t xml:space="preserve">1.0    </w:t>
      </w:r>
      <w:r>
        <w:rPr>
          <w:b/>
          <w:bCs/>
          <w:color w:val="15263F"/>
        </w:rPr>
        <w:t xml:space="preserve">Adopté le : </w:t>
      </w:r>
      <w:r>
        <w:rPr>
          <w:color w:val="5B6675"/>
        </w:rPr>
        <w:t xml:space="preserve">2 juin 2026</w:t>
      </w:r>
    </w:p>
    <w:p>
      <w:pPr>
        <w:spacing w:after="200"/>
      </w:pPr>
      <w:r>
        <w:rPr>
          <w:i/>
          <w:iCs/>
          <w:color w:val="5B6675"/>
          <w:sz w:val="24"/>
          <w:szCs w:val="24"/>
        </w:rPr>
        <w:t xml:space="preserve">La présente norme définit la fonction du criminologue au Nouveau-Brunswick, son champ d'exercice et ses limites, afin de protéger le public et d'assurer une collaboration harmonieuse avec les professions réglementées.</w:t>
      </w:r>
    </w:p>
    <w:p>
      <w:pPr>
        <w:pStyle w:val="Heading2"/>
      </w:pPr>
      <w:r>
        <w:t xml:space="preserve">1. Statut de l'Association</w:t>
      </w:r>
    </w:p>
    <w:p>
      <w:pPr>
        <w:spacing w:after="140"/>
      </w:pPr>
      <w:r>
        <w:t xml:space="preserve">L'APCNB est une association professionnelle volontaire. Au Nouveau-Brunswick, la criminologie n'est pas une profession réglementée : ni le titre ni les activités ne sont réservés par une loi. L'Association définit donc la fonction du criminologue par la </w:t>
      </w:r>
      <w:r>
        <w:rPr>
          <w:b/>
          <w:bCs/>
        </w:rPr>
        <w:t xml:space="preserve">compétence et le domaine</w:t>
      </w:r>
      <w:r>
        <w:t xml:space="preserve">, et non par des actes réservés. La présente norme s'applique à ses membres.</w:t>
      </w:r>
    </w:p>
    <w:p>
      <w:pPr>
        <w:pStyle w:val="Heading2"/>
      </w:pPr>
      <w:r>
        <w:t xml:space="preserve">2. Définition du criminologue</w:t>
      </w:r>
    </w:p>
    <w:p>
      <w:pPr>
        <w:spacing w:after="140"/>
      </w:pPr>
      <w:r>
        <w:t xml:space="preserve">Le criminologue étudie le </w:t>
      </w:r>
      <w:r>
        <w:rPr>
          <w:b/>
          <w:bCs/>
        </w:rPr>
        <w:t xml:space="preserve">phénomène criminel, la victimisation et le fonctionnement du système de justice</w:t>
      </w:r>
      <w:r>
        <w:t xml:space="preserve">, et applique ces connaissances à la prévention, à l'évaluation et à l'accompagnement des personnes en contact avec la justice, à l'élaboration et à l'évaluation de programmes, ainsi qu'à la recherche et au conseil en matière de politiques. Son angle distinctif est le crime et la justice, non le traitement clinique de la santé mentale.</w:t>
      </w:r>
    </w:p>
    <w:p>
      <w:pPr>
        <w:pStyle w:val="Heading2"/>
      </w:pPr>
      <w:r>
        <w:t xml:space="preserve">3. Champ d'exercice</w:t>
      </w:r>
    </w:p>
    <w:p>
      <w:pPr>
        <w:pStyle w:val="ListParagraph"/>
        <w:numPr>
          <w:ilvl w:val="0"/>
          <w:numId w:val="2"/>
        </w:numPr>
        <w:spacing w:after="60"/>
      </w:pPr>
      <w:r>
        <w:t xml:space="preserve">Analyser le phénomène criminel et la victimisation.</w:t>
      </w:r>
    </w:p>
    <w:p>
      <w:pPr>
        <w:pStyle w:val="ListParagraph"/>
        <w:numPr>
          <w:ilvl w:val="0"/>
          <w:numId w:val="2"/>
        </w:numPr>
        <w:spacing w:after="60"/>
      </w:pPr>
      <w:r>
        <w:t xml:space="preserve">Concevoir et soutenir la prévention de la criminalité et la sécurité communautaire.</w:t>
      </w:r>
    </w:p>
    <w:p>
      <w:pPr>
        <w:pStyle w:val="ListParagraph"/>
        <w:numPr>
          <w:ilvl w:val="0"/>
          <w:numId w:val="2"/>
        </w:numPr>
        <w:spacing w:after="60"/>
      </w:pPr>
      <w:r>
        <w:t xml:space="preserve">Évaluer le risque et les besoins criminogènes en contexte de justice (outils structurés ou actuariels) pour orienter l'intervention, sans poser de diagnostic clinique.</w:t>
      </w:r>
    </w:p>
    <w:p>
      <w:pPr>
        <w:pStyle w:val="ListParagraph"/>
        <w:numPr>
          <w:ilvl w:val="0"/>
          <w:numId w:val="2"/>
        </w:numPr>
        <w:spacing w:after="60"/>
      </w:pPr>
      <w:r>
        <w:t xml:space="preserve">Élaborer, mettre en œuvre et évaluer des plans et programmes d'intervention correctionnelle et communautaire.</w:t>
      </w:r>
    </w:p>
    <w:p>
      <w:pPr>
        <w:pStyle w:val="ListParagraph"/>
        <w:numPr>
          <w:ilvl w:val="0"/>
          <w:numId w:val="2"/>
        </w:numPr>
        <w:spacing w:after="60"/>
      </w:pPr>
      <w:r>
        <w:t xml:space="preserve">Accompagner la réinsertion sociale des personnes contrevenantes.</w:t>
      </w:r>
    </w:p>
    <w:p>
      <w:pPr>
        <w:pStyle w:val="ListParagraph"/>
        <w:numPr>
          <w:ilvl w:val="0"/>
          <w:numId w:val="2"/>
        </w:numPr>
        <w:spacing w:after="60"/>
      </w:pPr>
      <w:r>
        <w:t xml:space="preserve">Soutenir et orienter les personnes victimes (soutien non clinique).</w:t>
      </w:r>
    </w:p>
    <w:p>
      <w:pPr>
        <w:pStyle w:val="ListParagraph"/>
        <w:numPr>
          <w:ilvl w:val="0"/>
          <w:numId w:val="2"/>
        </w:numPr>
        <w:spacing w:after="60"/>
      </w:pPr>
      <w:r>
        <w:t xml:space="preserve">Animer la justice réparatrice et la médiation.</w:t>
      </w:r>
    </w:p>
    <w:p>
      <w:pPr>
        <w:pStyle w:val="ListParagraph"/>
        <w:numPr>
          <w:ilvl w:val="0"/>
          <w:numId w:val="2"/>
        </w:numPr>
        <w:spacing w:after="60"/>
      </w:pPr>
      <w:r>
        <w:t xml:space="preserve">Mener de la recherche et conseiller en matière de politiques de justice et de sécurité.</w:t>
      </w:r>
    </w:p>
    <w:p>
      <w:pPr>
        <w:pStyle w:val="ListParagraph"/>
        <w:numPr>
          <w:ilvl w:val="0"/>
          <w:numId w:val="2"/>
        </w:numPr>
        <w:spacing w:after="60"/>
      </w:pPr>
      <w:r>
        <w:t xml:space="preserve">Offrir expertise, consultation et témoignage, dans les limites de sa compétence.</w:t>
      </w:r>
    </w:p>
    <w:p>
      <w:pPr>
        <w:pStyle w:val="ListParagraph"/>
        <w:numPr>
          <w:ilvl w:val="0"/>
          <w:numId w:val="2"/>
        </w:numPr>
        <w:spacing w:after="60"/>
      </w:pPr>
      <w:r>
        <w:t xml:space="preserve">Former et sensibiliser le public et les partenaires.</w:t>
      </w:r>
    </w:p>
    <w:p>
      <w:pPr>
        <w:spacing w:after="140"/>
      </w:pPr>
      <w:r>
        <w:t xml:space="preserve">Champs spécialisés, en appui à la sécurité et à la justice :</w:t>
      </w:r>
    </w:p>
    <w:p>
      <w:pPr>
        <w:pStyle w:val="ListParagraph"/>
        <w:numPr>
          <w:ilvl w:val="0"/>
          <w:numId w:val="2"/>
        </w:numPr>
        <w:spacing w:after="60"/>
      </w:pPr>
      <w:r>
        <w:rPr>
          <w:b/>
          <w:bCs/>
        </w:rPr>
        <w:t xml:space="preserve">Criminalité économique et financière</w:t>
      </w:r>
      <w:r>
        <w:t xml:space="preserve"> : analyser et prévenir la fraude, le blanchiment d'argent, la corruption et les autres crimes financiers, en appui à la détection et à la prévention, sans se substituer aux actes comptables, juridiques ou d'enquête réservés à d'autres professionnels.</w:t>
      </w:r>
    </w:p>
    <w:p>
      <w:pPr>
        <w:pStyle w:val="ListParagraph"/>
        <w:numPr>
          <w:ilvl w:val="0"/>
          <w:numId w:val="2"/>
        </w:numPr>
        <w:spacing w:after="60"/>
      </w:pPr>
      <w:r>
        <w:rPr>
          <w:b/>
          <w:bCs/>
        </w:rPr>
        <w:t xml:space="preserve">Analyse de données</w:t>
      </w:r>
      <w:r>
        <w:t xml:space="preserve"> : collecter, traiter et interpréter des données criminelles et de justice (cartographie de la criminalité, analyse de tendances, indicateurs) pour éclairer une décision fondée sur des données probantes.</w:t>
      </w:r>
    </w:p>
    <w:p>
      <w:pPr>
        <w:pStyle w:val="ListParagraph"/>
        <w:numPr>
          <w:ilvl w:val="0"/>
          <w:numId w:val="2"/>
        </w:numPr>
        <w:spacing w:after="60"/>
      </w:pPr>
      <w:r>
        <w:rPr>
          <w:b/>
          <w:bCs/>
        </w:rPr>
        <w:t xml:space="preserve">Analyse de renseignement criminel</w:t>
      </w:r>
      <w:r>
        <w:t xml:space="preserve"> selon ses quatre volets : </w:t>
      </w:r>
      <w:r>
        <w:rPr>
          <w:b/>
          <w:bCs/>
        </w:rPr>
        <w:t xml:space="preserve">stratégique</w:t>
      </w:r>
      <w:r>
        <w:t xml:space="preserve"> (tendances et menaces à long terme, appui aux orientations), </w:t>
      </w:r>
      <w:r>
        <w:rPr>
          <w:b/>
          <w:bCs/>
        </w:rPr>
        <w:t xml:space="preserve">opérationnel</w:t>
      </w:r>
      <w:r>
        <w:t xml:space="preserve"> (appui aux opérations et enquêtes visant un réseau ou un phénomène), </w:t>
      </w:r>
      <w:r>
        <w:rPr>
          <w:b/>
          <w:bCs/>
        </w:rPr>
        <w:t xml:space="preserve">tactique</w:t>
      </w:r>
      <w:r>
        <w:t xml:space="preserve"> (appui immédiat sur le terrain, pour un dossier en cours) et </w:t>
      </w:r>
      <w:r>
        <w:rPr>
          <w:b/>
          <w:bCs/>
        </w:rPr>
        <w:t xml:space="preserve">prospectif</w:t>
      </w:r>
      <w:r>
        <w:t xml:space="preserve"> (veille et anticipation des menaces émergentes).</w:t>
      </w:r>
    </w:p>
    <w:p>
      <w:pPr>
        <w:pStyle w:val="Heading2"/>
      </w:pPr>
      <w:r>
        <w:t xml:space="preserve">4. Limites et professions réglementées au Nouveau-Brunswick</w:t>
      </w:r>
    </w:p>
    <w:p>
      <w:pPr>
        <w:spacing w:after="140"/>
      </w:pPr>
      <w:r>
        <w:t xml:space="preserve">Le criminologue exerce en complémentarité, jamais en substitution. Les activités suivantes relèvent de professions réglementées par la loi au Nouveau-Brunswick; le membre ne les exerce pas, à moins de détenir lui-même le titre ou le permis requis.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Activité</w:t>
            </w:r>
          </w:p>
        </w:tc>
        <w:tc>
          <w:tcPr>
            <w:tcW w:type="dxa" w:w="468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Profession compétente au N.-B.</w:t>
            </w:r>
          </w:p>
        </w:tc>
      </w:tr>
      <w:tr>
        <w:tc>
          <w:tcPr>
            <w:tcW w:type="dxa" w:w="468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Diagnostic de troubles mentaux, évaluation et tests psychologiques</w:t>
            </w:r>
          </w:p>
        </w:tc>
        <w:tc>
          <w:tcPr>
            <w:tcW w:type="dxa" w:w="468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Psychologue (College of Psychologists of N.B.)</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Psychothérapie et thérapie par le counseling</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Conseiller thérapeutique agréé (College of Counselling Therapists of N.B.)</w:t>
            </w:r>
          </w:p>
        </w:tc>
      </w:tr>
      <w:tr>
        <w:tc>
          <w:tcPr>
            <w:tcW w:type="dxa" w:w="468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Travail social clinique, protection de l'enfance, évaluations psychosociales réservées</w:t>
            </w:r>
          </w:p>
        </w:tc>
        <w:tc>
          <w:tcPr>
            <w:tcW w:type="dxa" w:w="468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Travailleur social (NBASW / ATSNB)</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Avis et représentation juridiques</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Avocat (Barreau du N.-B.)</w:t>
            </w:r>
          </w:p>
        </w:tc>
      </w:tr>
      <w:tr>
        <w:tc>
          <w:tcPr>
            <w:tcW w:type="dxa" w:w="468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Diagnostic médical et prescription</w:t>
            </w:r>
          </w:p>
        </w:tc>
        <w:tc>
          <w:tcPr>
            <w:tcW w:type="dxa" w:w="468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Médecin</w:t>
            </w:r>
          </w:p>
        </w:tc>
      </w:tr>
    </w:tbl>
    <w:p>
      <w:pPr>
        <w:spacing w:after="120"/>
      </w:pPr>
    </w:p>
    <w:p>
      <w:pPr>
        <w:pStyle w:val="Heading2"/>
      </w:pPr>
      <w:r>
        <w:t xml:space="preserve">5. Devoir de collaboration et de référence</w:t>
      </w:r>
    </w:p>
    <w:p>
      <w:pPr>
        <w:spacing w:after="140"/>
      </w:pPr>
      <w:r>
        <w:t xml:space="preserve">Le membre reconnaît les limites de son champ d'exercice et dirige sans délai la personne vers la profession compétente lorsque la situation l'exige. Il favorise le travail interdisciplinaire et ne pose aucun acte réservé à une profession réglementée sans en détenir le titre.</w:t>
      </w:r>
    </w:p>
    <w:p>
      <w:pPr>
        <w:pStyle w:val="Heading2"/>
      </w:pPr>
      <w:r>
        <w:t xml:space="preserve">6. Distinction avec le Québec</w:t>
      </w:r>
    </w:p>
    <w:p>
      <w:pPr>
        <w:spacing w:after="140"/>
      </w:pPr>
      <w:r>
        <w:t xml:space="preserve">Au Québec, le criminologue est membre d'un ordre professionnel et détient un titre réservé et des activités réservées prévues par la loi, principalement dans le domaine de la santé mentale et des relations humaines. Cette autorité découle de la loi québécoise et ne s'applique pas au Nouveau-Brunswick.</w:t>
      </w:r>
    </w:p>
    <w:p>
      <w:pPr>
        <w:pStyle w:val="Heading2"/>
      </w:pPr>
      <w:r>
        <w:t xml:space="preserve">7. Révision et reconnaissance</w:t>
      </w:r>
    </w:p>
    <w:p>
      <w:pPr>
        <w:spacing w:after="140"/>
      </w:pPr>
      <w:r>
        <w:t xml:space="preserve">La présente norme est révisée périodiquement. L'Association aspire à une protection du titre par voie législative, élaborée en concertation avec les autres ordres et validée par un conseiller juridique du Nouveau-Brunswick.</w:t>
      </w:r>
    </w:p>
    <w:p>
      <w:pPr>
        <w:pBdr>
          <w:left w:val="single" w:color="B08A3E" w:sz="18" w:space="8"/>
        </w:pBdr>
        <w:shd w:fill="F4EEDD" w:val="clear"/>
        <w:spacing w:after="160" w:before="120"/>
      </w:pPr>
      <w:r>
        <w:t xml:space="preserve">Avis : Cette norme oriente la pratique des membres. Elle ne confère aucun droit d'exercice exclusif et devrait être validée par un conseiller juridique avant toute démarche de reconnaissance légale.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t>
    </w:r>
    <w:r>
      <w:rPr>
        <w:color w:val="5B6675"/>
        <w:sz w:val="15"/>
        <w:szCs w:val="15"/>
      </w:rPr>
      <w:fldChar w:fldCharType="begin"/>
      <w:instrText xml:space="preserve">PAGE</w:instrText>
      <w:fldChar w:fldCharType="separate"/>
      <w:fldChar w:fldCharType="end"/>
    </w:r>
    <w:r>
      <w:rPr>
        <w:color w:val="5B6675"/>
        <w:sz w:val="15"/>
        <w:szCs w:val="15"/>
      </w:rPr>
      <w:t xml:space="preserve">/</w:t>
    </w:r>
    <w:r>
      <w:rPr>
        <w:color w:val="5B6675"/>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6" w:space="6"/>
      </w:pBdr>
      <w:tabs>
        <w:tab w:val="right" w:pos="9360"/>
      </w:tabs>
      <w:spacing w:after="60"/>
    </w:pPr>
    <w:r>
      <w:drawing>
        <wp:inline distT="0" distB="0" distL="0" distR="0">
          <wp:extent cx="285750" cy="28575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85750" cy="285750"/>
                  </a:xfrm>
                  <a:prstGeom prst="rect">
                    <a:avLst/>
                  </a:prstGeom>
                </pic:spPr>
              </pic:pic>
            </a:graphicData>
          </a:graphic>
        </wp:inline>
      </w:drawing>
    </w:r>
    <w:r>
      <w:rPr>
        <w:b/>
        <w:bCs/>
        <w:color w:val="15263F"/>
        <w:sz w:val="18"/>
        <w:szCs w:val="18"/>
      </w:rPr>
      <w:t xml:space="preserve">  APCNB · NBPAC</w:t>
    </w:r>
    <w:r>
      <w:rPr>
        <w:color w:val="5B6675"/>
        <w:sz w:val="16"/>
        <w:szCs w:val="16"/>
      </w:rPr>
      <w:t xml:space="preserve">	Champ d'exercice / Scope of Practice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Norme de champ d'exercice et de collaboration interprofessionnelle / Scope of Practice and Interprofessional Collaboration Standard</dc:title>
  <dc:creator>APCNB / NBPAC</dc:creator>
  <cp:lastModifiedBy>Un-named</cp:lastModifiedBy>
  <cp:revision>1</cp:revision>
  <dcterms:created xsi:type="dcterms:W3CDTF">2026-09-09T02:05:41.466Z</dcterms:created>
  <dcterms:modified xsi:type="dcterms:W3CDTF">2026-09-09T02:05:41.466Z</dcterms:modified>
</cp:coreProperties>
</file>

<file path=docProps/custom.xml><?xml version="1.0" encoding="utf-8"?>
<Properties xmlns="http://schemas.openxmlformats.org/officeDocument/2006/custom-properties" xmlns:vt="http://schemas.openxmlformats.org/officeDocument/2006/docPropsVTypes"/>
</file>