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Statuts et règlements généraux</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pStyle w:val="Heading2"/>
      </w:pPr>
      <w:r>
        <w:t xml:space="preserve">Article 1 — Dénomination</w:t>
      </w:r>
    </w:p>
    <w:p>
      <w:pPr>
        <w:spacing w:after="140"/>
      </w:pPr>
      <w:r>
        <w:t xml:space="preserve">L'association est constituée sous le nom d'</w:t>
      </w:r>
      <w:r>
        <w:rPr>
          <w:b/>
          <w:bCs/>
        </w:rPr>
        <w:t xml:space="preserve">Association professionnelle de criminologie du Nouveau-Brunswick</w:t>
      </w:r>
      <w:r>
        <w:t xml:space="preserve"> (ci-après « l'APCNB » ou « l'Association »). Sa désignation anglaise officielle est </w:t>
      </w:r>
      <w:r>
        <w:rPr>
          <w:i/>
          <w:iCs/>
        </w:rPr>
        <w:t xml:space="preserve">New Brunswick Professional Association of Criminology (NBPAC)</w:t>
      </w:r>
      <w:r>
        <w:t xml:space="preserve">. Les deux dénominations ont valeur égale.</w:t>
      </w:r>
    </w:p>
    <w:p>
      <w:pPr>
        <w:pStyle w:val="Heading2"/>
      </w:pPr>
      <w:r>
        <w:t xml:space="preserve">Article 2 — Siège social</w:t>
      </w:r>
    </w:p>
    <w:p>
      <w:pPr>
        <w:spacing w:after="140"/>
      </w:pPr>
      <w:r>
        <w:t xml:space="preserve">Le siège social de l'Association est situé dans la province du Nouveau-Brunswick, à l'adresse déterminée de temps à autre par le conseil d'administration.</w:t>
      </w:r>
    </w:p>
    <w:p>
      <w:pPr>
        <w:pStyle w:val="Heading2"/>
      </w:pPr>
      <w:r>
        <w:t xml:space="preserve">Article 3 — Nature et statut</w:t>
      </w:r>
    </w:p>
    <w:p>
      <w:pPr>
        <w:spacing w:after="140"/>
      </w:pPr>
      <w:r>
        <w:t xml:space="preserve">L'Association est une personne morale sans but lucratif. Elle ne distribue aucun bénéfice à ses membres; ses revenus sont affectés exclusivement à la poursuite de ses objets.</w:t>
      </w:r>
    </w:p>
    <w:p>
      <w:pPr>
        <w:pStyle w:val="Heading2"/>
      </w:pPr>
      <w:r>
        <w:t xml:space="preserve">Article 4 — Objets</w:t>
      </w:r>
    </w:p>
    <w:p>
      <w:pPr>
        <w:pStyle w:val="ListParagraph"/>
        <w:numPr>
          <w:ilvl w:val="0"/>
          <w:numId w:val="2"/>
        </w:numPr>
        <w:spacing w:after="60"/>
      </w:pPr>
      <w:r>
        <w:t xml:space="preserve">Promouvoir l'avancement, la reconnaissance et l'intégrité de la profession de criminologue au Nouveau-Brunswick.</w:t>
      </w:r>
    </w:p>
    <w:p>
      <w:pPr>
        <w:pStyle w:val="ListParagraph"/>
        <w:numPr>
          <w:ilvl w:val="0"/>
          <w:numId w:val="2"/>
        </w:numPr>
        <w:spacing w:after="60"/>
      </w:pPr>
      <w:r>
        <w:t xml:space="preserve">Établir et maintenir des normes de compétence et de conduite professionnelle.</w:t>
      </w:r>
    </w:p>
    <w:p>
      <w:pPr>
        <w:pStyle w:val="ListParagraph"/>
        <w:numPr>
          <w:ilvl w:val="0"/>
          <w:numId w:val="2"/>
        </w:numPr>
        <w:spacing w:after="60"/>
      </w:pPr>
      <w:r>
        <w:t xml:space="preserve">Protéger l'intérêt public dans l'exercice de la criminologie.</w:t>
      </w:r>
    </w:p>
    <w:p>
      <w:pPr>
        <w:pStyle w:val="ListParagraph"/>
        <w:numPr>
          <w:ilvl w:val="0"/>
          <w:numId w:val="2"/>
        </w:numPr>
        <w:spacing w:after="60"/>
      </w:pPr>
      <w:r>
        <w:t xml:space="preserve">Offrir de la formation continue et favoriser le perfectionnement des membres.</w:t>
      </w:r>
    </w:p>
    <w:p>
      <w:pPr>
        <w:pStyle w:val="ListParagraph"/>
        <w:numPr>
          <w:ilvl w:val="0"/>
          <w:numId w:val="2"/>
        </w:numPr>
        <w:spacing w:after="60"/>
      </w:pPr>
      <w:r>
        <w:t xml:space="preserve">Représenter la profession auprès du public, des gouvernements et des partenaires.</w:t>
      </w:r>
    </w:p>
    <w:p>
      <w:pPr>
        <w:pStyle w:val="ListParagraph"/>
        <w:numPr>
          <w:ilvl w:val="0"/>
          <w:numId w:val="2"/>
        </w:numPr>
        <w:spacing w:after="60"/>
      </w:pPr>
      <w:r>
        <w:t xml:space="preserve">Assurer la prestation de tous les services dans les deux langues officielles.</w:t>
      </w:r>
    </w:p>
    <w:p>
      <w:pPr>
        <w:pStyle w:val="Heading2"/>
      </w:pPr>
      <w:r>
        <w:t xml:space="preserve">Article 5 — Langues officielles</w:t>
      </w:r>
    </w:p>
    <w:p>
      <w:pPr>
        <w:spacing w:after="140"/>
      </w:pPr>
      <w:r>
        <w:t xml:space="preserve">Le français et l'anglais sont les langues officielles de l'Association. Tous les statuts, politiques, communications, avis et services sont offerts dans les deux langues, qui ont une valeur juridique égale. En cas de divergence d'interprétation, les deux versions doivent être conciliées de bonne foi.</w:t>
      </w:r>
    </w:p>
    <w:p>
      <w:pPr>
        <w:pStyle w:val="Heading2"/>
      </w:pPr>
      <w:r>
        <w:t xml:space="preserve">Article 6 — Membres</w:t>
      </w:r>
    </w:p>
    <w:p>
      <w:pPr>
        <w:spacing w:after="140"/>
      </w:pPr>
      <w:r>
        <w:t xml:space="preserve">L'Association compte les catégories suivantes : </w:t>
      </w:r>
      <w:r>
        <w:rPr>
          <w:b/>
          <w:bCs/>
        </w:rPr>
        <w:t xml:space="preserve">membre régulier</w:t>
      </w:r>
      <w:r>
        <w:t xml:space="preserve">, </w:t>
      </w:r>
      <w:r>
        <w:rPr>
          <w:b/>
          <w:bCs/>
        </w:rPr>
        <w:t xml:space="preserve">membre étudiant</w:t>
      </w:r>
      <w:r>
        <w:t xml:space="preserve">, </w:t>
      </w:r>
      <w:r>
        <w:rPr>
          <w:b/>
          <w:bCs/>
        </w:rPr>
        <w:t xml:space="preserve">membre associé</w:t>
      </w:r>
      <w:r>
        <w:t xml:space="preserve"> et </w:t>
      </w:r>
      <w:r>
        <w:rPr>
          <w:b/>
          <w:bCs/>
        </w:rPr>
        <w:t xml:space="preserve">membre honoraire</w:t>
      </w:r>
      <w:r>
        <w:t xml:space="preserve">. Seuls les membres réguliers en règle ont le droit de vote et d'éligibilité. Les cotisations sont fixées par le conseil et ratifiées à l'assemblée générale annuelle. La qualité de membre prend fin par démission, non-paiement ou radiation.</w:t>
      </w:r>
    </w:p>
    <w:p>
      <w:pPr>
        <w:pStyle w:val="Heading2"/>
      </w:pPr>
      <w:r>
        <w:t xml:space="preserve">Article 7 — Assemblées des membres</w:t>
      </w:r>
    </w:p>
    <w:p>
      <w:pPr>
        <w:spacing w:after="140"/>
      </w:pPr>
      <w:r>
        <w:t xml:space="preserve">L'assemblée générale annuelle (AGA) se tient au plus tard six mois après la fin de l'exercice. Le quorum est de 20 % des membres réguliers en règle. Chaque membre régulier dispose d'une voix. Les assemblées peuvent se tenir en personne ou par moyen électronique.</w:t>
      </w:r>
    </w:p>
    <w:p>
      <w:pPr>
        <w:pStyle w:val="Heading2"/>
      </w:pPr>
      <w:r>
        <w:t xml:space="preserve">Article 8 — Conseil d'administration</w:t>
      </w:r>
    </w:p>
    <w:p>
      <w:pPr>
        <w:spacing w:after="140"/>
      </w:pPr>
      <w:r>
        <w:t xml:space="preserve">Le conseil compte de cinq à neuf administrateurs élus par les membres réguliers, dont une présidence, une vice-présidence, un secrétariat et une trésorerie. La composition reflète la dualité linguistique. Le mandat est de deux ans, renouvelable et échelonné. Le conseil administre les affaires, adopte les politiques et approuve le budget.</w:t>
      </w:r>
    </w:p>
    <w:p>
      <w:pPr>
        <w:pStyle w:val="Heading2"/>
      </w:pPr>
      <w:r>
        <w:t xml:space="preserve">Article 9 — Comités</w:t>
      </w:r>
    </w:p>
    <w:p>
      <w:pPr>
        <w:spacing w:after="140"/>
      </w:pPr>
      <w:r>
        <w:t xml:space="preserve">Le conseil peut créer des comités, notamment un comité d'admission, un comité de déontologie et un comité de formation continue, et en définir le mandat.</w:t>
      </w:r>
    </w:p>
    <w:p>
      <w:pPr>
        <w:pStyle w:val="Heading2"/>
      </w:pPr>
      <w:r>
        <w:t xml:space="preserve">Article 10 — Exercice financier</w:t>
      </w:r>
    </w:p>
    <w:p>
      <w:pPr>
        <w:spacing w:after="140"/>
      </w:pPr>
      <w:r>
        <w:t xml:space="preserve">L'exercice financier se termine le 31 mars. Les livres sont tenus selon les principes comptables reconnus et les états financiers sont présentés à l'AGA. Les signataires autorisés sont désignés par résolution du conseil.</w:t>
      </w:r>
    </w:p>
    <w:p>
      <w:pPr>
        <w:pStyle w:val="Heading2"/>
      </w:pPr>
      <w:r>
        <w:t xml:space="preserve">Article 11 — Déontologie et discipline</w:t>
      </w:r>
    </w:p>
    <w:p>
      <w:pPr>
        <w:spacing w:after="140"/>
      </w:pPr>
      <w:r>
        <w:t xml:space="preserve">Tout membre est lié par le Code de déontologie. Les manquements sont traités selon la Politique de traitement des plaintes, pouvant mener à la radiation.</w:t>
      </w:r>
    </w:p>
    <w:p>
      <w:pPr>
        <w:pStyle w:val="Heading2"/>
      </w:pPr>
      <w:r>
        <w:t xml:space="preserve">Article 12 — Modification des statuts</w:t>
      </w:r>
    </w:p>
    <w:p>
      <w:pPr>
        <w:spacing w:after="140"/>
      </w:pPr>
      <w:r>
        <w:t xml:space="preserve">Les présents statuts ne peuvent être modifiés que par résolution adoptée aux deux tiers des voix exprimées à une assemblée générale, l'avis ayant été transmis au moins 21 jours à l'avance.</w:t>
      </w:r>
    </w:p>
    <w:p>
      <w:pPr>
        <w:pStyle w:val="Heading2"/>
      </w:pPr>
      <w:r>
        <w:t xml:space="preserve">Article 13 — Dissolution</w:t>
      </w:r>
    </w:p>
    <w:p>
      <w:pPr>
        <w:spacing w:after="140"/>
      </w:pPr>
      <w:r>
        <w:t xml:space="preserve">En cas de dissolution, l'actif résiduel, après acquittement des dettes, est versé à un organisme sans but lucratif poursuivant des objets analogues.</w:t>
      </w:r>
    </w:p>
    <w:p>
      <w:pPr>
        <w:pBdr>
          <w:left w:val="single" w:color="B08A3E" w:sz="18" w:space="8"/>
        </w:pBdr>
        <w:shd w:fill="F4EEDD" w:val="clear"/>
        <w:spacing w:after="160" w:before="120"/>
      </w:pPr>
      <w:r>
        <w:t xml:space="preserve">Note : Ce modèle de statuts devrait être révisé par un conseiller juridique du Nouveau-Brunswick avant la constitution officielle.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Statuts et règlements / Bylaws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Statuts et règlements généraux / Bylaws and General Regulations</dc:title>
  <dc:creator>APCNB / NBPAC</dc:creator>
  <cp:lastModifiedBy>Un-named</cp:lastModifiedBy>
  <cp:revision>1</cp:revision>
  <dcterms:created xsi:type="dcterms:W3CDTF">2026-09-09T02:05:41.206Z</dcterms:created>
  <dcterms:modified xsi:type="dcterms:W3CDTF">2026-09-09T02:05:41.206Z</dcterms:modified>
</cp:coreProperties>
</file>

<file path=docProps/custom.xml><?xml version="1.0" encoding="utf-8"?>
<Properties xmlns="http://schemas.openxmlformats.org/officeDocument/2006/custom-properties" xmlns:vt="http://schemas.openxmlformats.org/officeDocument/2006/docPropsVTypes"/>
</file>