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Complaints-Handling Policy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This policy establishes a fair, transparent and bilingual process for handling complaints against a member and protecting the public.</w:t>
      </w:r>
    </w:p>
    <w:p>
      <w:pPr>
        <w:pStyle w:val="Heading2"/>
      </w:pPr>
      <w:r>
        <w:t xml:space="preserve">1. Who May File a Complaint</w:t>
      </w:r>
    </w:p>
    <w:p>
      <w:pPr>
        <w:spacing w:after="140"/>
      </w:pPr>
      <w:r>
        <w:t xml:space="preserve">Anyone — a member of the public, client, employer or fellow member — may file a complaint concerning the professional conduct of a member.</w:t>
      </w:r>
    </w:p>
    <w:p>
      <w:pPr>
        <w:pStyle w:val="Heading2"/>
      </w:pPr>
      <w:r>
        <w:t xml:space="preserve">2. Filing a Complaint</w:t>
      </w:r>
    </w:p>
    <w:p>
      <w:pPr>
        <w:spacing w:after="140"/>
      </w:pPr>
      <w:r>
        <w:t xml:space="preserve">The complaint is submitted in writing, in the complainant's chosen official language, to the secretariat. It describes the facts, dates and people involved, and attaches any relevant documents.</w:t>
      </w:r>
    </w:p>
    <w:p>
      <w:pPr>
        <w:pStyle w:val="Heading2"/>
      </w:pPr>
      <w:r>
        <w:t xml:space="preserve">3. Admissibility</w:t>
      </w:r>
    </w:p>
    <w:p>
      <w:pPr>
        <w:spacing w:after="140"/>
      </w:pPr>
      <w:r>
        <w:t xml:space="preserve">The secretariat acknowledges receipt within 10 business days and forwards the file to the ethics committee, which determines admissibility within 30 days.</w:t>
      </w:r>
    </w:p>
    <w:p>
      <w:pPr>
        <w:pStyle w:val="Heading2"/>
      </w:pPr>
      <w:r>
        <w:t xml:space="preserve">4. Review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member concerned is informed and invited to respond within 21 days.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committee may gather additional information and hear the parties.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review respects procedural fairness and confidentiality.</w:t>
      </w:r>
    </w:p>
    <w:p>
      <w:pPr>
        <w:pStyle w:val="Heading2"/>
      </w:pPr>
      <w:r>
        <w:t xml:space="preserve">5. Decisions and Measures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Finding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Possible measure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Unfounded complaint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File closed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Minor breach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Written warning, corrective training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Serious breach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Reprimand, conditions of practice, suspension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Grave breach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Removal from the Association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6. Appeal</w:t>
      </w:r>
    </w:p>
    <w:p>
      <w:pPr>
        <w:spacing w:after="140"/>
      </w:pPr>
      <w:r>
        <w:t xml:space="preserve">The member concerned may appeal in writing within 30 days. An independent appeal committee, none of whose members took part in the original decision, reviews the file.</w:t>
      </w:r>
    </w:p>
    <w:p>
      <w:pPr>
        <w:pStyle w:val="Heading2"/>
      </w:pPr>
      <w:r>
        <w:t xml:space="preserve">7. Confidentiality and Good Faith</w:t>
      </w:r>
    </w:p>
    <w:p>
      <w:pPr>
        <w:spacing w:after="140"/>
      </w:pPr>
      <w:r>
        <w:t xml:space="preserve">The process is confidential. Complaints made in bad faith or in a vexatious manner may themselves be subject to measures.</w:t>
      </w:r>
    </w:p>
    <w:p>
      <w:pPr>
        <w:pStyle w:val="Heading2"/>
      </w:pPr>
      <w:r>
        <w:t xml:space="preserve">8. Register</w:t>
      </w:r>
    </w:p>
    <w:p>
      <w:pPr>
        <w:spacing w:after="140"/>
      </w:pPr>
      <w:r>
        <w:t xml:space="preserve">The Association keeps a confidential register of complaints and their outcomes for accountability.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Traitement des plaintes / Complaints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de traitement des plaintes / Complaints-Handling Policy</dc:title>
  <dc:creator>APCNB / NBPAC</dc:creator>
  <cp:lastModifiedBy>Un-named</cp:lastModifiedBy>
  <cp:revision>1</cp:revision>
  <dcterms:created xsi:type="dcterms:W3CDTF">2026-09-09T02:05:41.952Z</dcterms:created>
  <dcterms:modified xsi:type="dcterms:W3CDTF">2026-09-09T02:05:41.952Z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