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rPr>
          <w:b/>
          <w:bCs/>
          <w:color w:val="B08A3E"/>
          <w:sz w:val="18"/>
          <w:szCs w:val="18"/>
        </w:rPr>
        <w:t xml:space="preserve">ENGLISH</w:t>
      </w:r>
    </w:p>
    <w:p>
      <w:pPr>
        <w:pStyle w:val="Heading1"/>
      </w:pPr>
      <w:r>
        <w:t xml:space="preserve">Continuing Professional Development Policy</w:t>
      </w:r>
    </w:p>
    <w:p>
      <w:pPr>
        <w:pBdr>
          <w:bottom w:val="single" w:color="B08A3E" w:sz="12" w:space="6"/>
        </w:pBdr>
        <w:spacing w:after="40"/>
      </w:pPr>
    </w:p>
    <w:p>
      <w:pPr>
        <w:spacing w:after="20" w:before="60"/>
      </w:pPr>
      <w:r>
        <w:rPr>
          <w:b/>
          <w:bCs/>
          <w:color w:val="15263F"/>
        </w:rPr>
        <w:t xml:space="preserve">Organization : </w:t>
      </w:r>
      <w:r>
        <w:rPr>
          <w:color w:val="5B6675"/>
        </w:rPr>
        <w:t xml:space="preserve">New Brunswick Professional Association of Criminology (NBPAC)</w:t>
      </w:r>
    </w:p>
    <w:p>
      <w:pPr>
        <w:spacing w:after="220"/>
      </w:pPr>
      <w:r>
        <w:rPr>
          <w:b/>
          <w:bCs/>
          <w:color w:val="15263F"/>
        </w:rPr>
        <w:t xml:space="preserve">Version : </w:t>
      </w:r>
      <w:r>
        <w:rPr>
          <w:color w:val="5B6675"/>
        </w:rPr>
        <w:t xml:space="preserve">1.0    </w:t>
      </w:r>
      <w:r>
        <w:rPr>
          <w:b/>
          <w:bCs/>
          <w:color w:val="15263F"/>
        </w:rPr>
        <w:t xml:space="preserve">Adopted : </w:t>
      </w:r>
      <w:r>
        <w:rPr>
          <w:color w:val="5B6675"/>
        </w:rPr>
        <w:t xml:space="preserve">June 2, 2026</w:t>
      </w:r>
    </w:p>
    <w:p>
      <w:pPr>
        <w:spacing w:after="200"/>
      </w:pPr>
      <w:r>
        <w:rPr>
          <w:i/>
          <w:iCs/>
          <w:color w:val="5B6675"/>
          <w:sz w:val="24"/>
          <w:szCs w:val="24"/>
        </w:rPr>
        <w:t xml:space="preserve">Continuing professional development ensures members maintain and grow their competence for the benefit of the public and the profession.</w:t>
      </w:r>
    </w:p>
    <w:p>
      <w:pPr>
        <w:pStyle w:val="Heading2"/>
      </w:pPr>
      <w:r>
        <w:t xml:space="preserve">1. Annual Requirement</w:t>
      </w:r>
    </w:p>
    <w:p>
      <w:pPr>
        <w:spacing w:after="140"/>
      </w:pPr>
      <w:r>
        <w:t xml:space="preserve">Each regular member must accumulate at least </w:t>
      </w:r>
      <w:r>
        <w:rPr>
          <w:b/>
          <w:bCs/>
        </w:rPr>
        <w:t xml:space="preserve">20 continuing-education units (CEUs)</w:t>
      </w:r>
      <w:r>
        <w:t xml:space="preserve"> per year, of which at least 3 address professional ethics. One CEU equals one hour of recognized activity.</w:t>
      </w:r>
    </w:p>
    <w:p>
      <w:pPr>
        <w:pStyle w:val="Heading2"/>
      </w:pPr>
      <w:r>
        <w:t xml:space="preserve">2. Eligible Activities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rPr>
          <w:tblHeader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5263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</w:rPr>
              <w:t xml:space="preserve">Activity type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5263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</w:rPr>
              <w:t xml:space="preserve">Annual cap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Courses, workshops and conferences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20 CEUs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Recognized online training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10 CEUs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Presenting or teaching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8 CEUs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Publication or research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8 CEUs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Service on a professional committee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5 CEUs</w:t>
            </w:r>
          </w:p>
        </w:tc>
      </w:tr>
    </w:tbl>
    <w:p>
      <w:pPr>
        <w:spacing w:after="120"/>
      </w:pPr>
    </w:p>
    <w:p>
      <w:pPr>
        <w:pStyle w:val="Heading2"/>
      </w:pPr>
      <w:r>
        <w:t xml:space="preserve">3. Declaration and Evidence</w:t>
      </w:r>
    </w:p>
    <w:p>
      <w:pPr>
        <w:spacing w:after="140"/>
      </w:pPr>
      <w:r>
        <w:t xml:space="preserve">Members log their activities and keep supporting records for three years. An annual declaration is submitted at renewal.</w:t>
      </w:r>
    </w:p>
    <w:p>
      <w:pPr>
        <w:pStyle w:val="Heading2"/>
      </w:pPr>
      <w:r>
        <w:t xml:space="preserve">4. Verification</w:t>
      </w:r>
    </w:p>
    <w:p>
      <w:pPr>
        <w:spacing w:after="140"/>
      </w:pPr>
      <w:r>
        <w:t xml:space="preserve">The continuing-education committee may randomly audit declarations. Failure to meet the requirement may lead to a remediation plan or suspension.</w:t>
      </w:r>
    </w:p>
    <w:p>
      <w:pPr>
        <w:pStyle w:val="Heading2"/>
      </w:pPr>
      <w:r>
        <w:t xml:space="preserve">5. Bilingual Access</w:t>
      </w:r>
    </w:p>
    <w:p>
      <w:pPr>
        <w:spacing w:after="140"/>
      </w:pPr>
      <w:r>
        <w:t xml:space="preserve">The Association strives to offer or recognize activities in both French and English, so that all members can meet their requirements in the language of their choice.</w:t>
      </w:r>
    </w:p>
    <w:p>
      <w:pPr>
        <w:pStyle w:val="Heading2"/>
      </w:pPr>
      <w:r>
        <w:t xml:space="preserve">6. Exemptions</w:t>
      </w:r>
    </w:p>
    <w:p>
      <w:pPr>
        <w:spacing w:after="140"/>
      </w:pPr>
      <w:r>
        <w:t xml:space="preserve">Partial exemptions may be granted for parental leave, extended illness or other valid reasons, on request to the committee.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6" w:space="6"/>
      </w:pBdr>
      <w:jc w:val="center"/>
    </w:pPr>
    <w:r>
      <w:rPr>
        <w:color w:val="5B6675"/>
        <w:sz w:val="15"/>
        <w:szCs w:val="15"/>
      </w:rPr>
      <w:t xml:space="preserve">C.P. 0000, Fredericton (Nouveau-Brunswick) E3B 0A0   ·   info@apcnb.ca   ·   </w:t>
    </w:r>
    <w:r>
      <w:rPr>
        <w:color w:val="5B6675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color w:val="5B6675"/>
        <w:sz w:val="15"/>
        <w:szCs w:val="15"/>
      </w:rPr>
      <w:t xml:space="preserve">/</w:t>
    </w:r>
    <w:r>
      <w:rPr>
        <w:color w:val="5B6675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CCCCC" w:sz="6" w:space="6"/>
      </w:pBdr>
      <w:tabs>
        <w:tab w:val="right" w:pos="9360"/>
      </w:tabs>
      <w:spacing w:after="60"/>
    </w:pPr>
    <w:r>
      <w:drawing>
        <wp:inline distT="0" distB="0" distL="0" distR="0">
          <wp:extent cx="285750" cy="285750"/>
          <wp:effectExtent t="0" r="0" b="0" l="0"/>
          <wp:docPr id="1" name="logo" descr="Sceau" title="APCN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15263F"/>
        <w:sz w:val="18"/>
        <w:szCs w:val="18"/>
      </w:rPr>
      <w:t xml:space="preserve">  APCNB · NBPAC</w:t>
    </w:r>
    <w:r>
      <w:rPr>
        <w:color w:val="5B6675"/>
        <w:sz w:val="16"/>
        <w:szCs w:val="16"/>
      </w:rPr>
      <w:t xml:space="preserve">	Formation continue / CPD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60" w:hanging="28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B233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120"/>
      <w:outlineLvl w:val="0"/>
    </w:pPr>
    <w:rPr>
      <w:rFonts w:ascii="Georgia" w:cs="Georgia" w:eastAsia="Georgia" w:hAnsi="Georgia"/>
      <w:b/>
      <w:bCs/>
      <w:color w:val="15263F"/>
      <w:sz w:val="34"/>
      <w:szCs w:val="34"/>
    </w:rPr>
  </w:style>
  <w:style w:type="paragraph" w:styleId="Heading2">
    <w:name w:val="Heading 2"/>
    <w:basedOn w:val="Normal"/>
    <w:next w:val="Normal"/>
    <w:qFormat/>
    <w:pPr>
      <w:spacing w:after="100" w:before="240"/>
      <w:outlineLvl w:val="1"/>
    </w:pPr>
    <w:rPr>
      <w:rFonts w:ascii="Georgia" w:cs="Georgia" w:eastAsia="Georgia" w:hAnsi="Georgia"/>
      <w:b/>
      <w:bCs/>
      <w:color w:val="15263F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3c6fb9fb65dd3b7dedf4e6e2050424e5d6341c68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Politique de formation continue / Continuing Professional Development Policy</dc:title>
  <dc:creator>APCNB / NBPAC</dc:creator>
  <cp:lastModifiedBy>Un-named</cp:lastModifiedBy>
  <cp:revision>1</cp:revision>
  <dcterms:created xsi:type="dcterms:W3CDTF">2026-09-09T02:05:41.935Z</dcterms:created>
  <dcterms:modified xsi:type="dcterms:W3CDTF">2026-09-09T02:05:41.935Z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