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Membership Policy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pStyle w:val="Heading2"/>
      </w:pPr>
      <w:r>
        <w:t xml:space="preserve">1. Purpose</w:t>
      </w:r>
    </w:p>
    <w:p>
      <w:pPr>
        <w:spacing w:after="140"/>
      </w:pPr>
      <w:r>
        <w:t xml:space="preserve">This policy defines the membership categories, admission criteria, dues and conditions for maintaining membership.</w:t>
      </w:r>
    </w:p>
    <w:p>
      <w:pPr>
        <w:pStyle w:val="Heading2"/>
      </w:pPr>
      <w:r>
        <w:t xml:space="preserve">2. Categories and Admission Criteria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Criteria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Dues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Regular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University degree in criminology or a related field and relevant duties.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$125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Student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Enrolment in a recognized criminology or criminal-justice program.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Free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Associate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Professional in a related discipline supporting the Association's objects.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$90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Honorary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Person appointed by the Board for an exceptional contribution.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No charge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Admission Process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Submission of the membership form and supporting documents.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Review of the file by the admissions committee.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Written undertaking to abide by the Code of Ethics.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Payment of dues and confirmation of membership.</w:t>
      </w:r>
    </w:p>
    <w:p>
      <w:pPr>
        <w:pStyle w:val="Heading2"/>
      </w:pPr>
      <w:r>
        <w:t xml:space="preserve">4. Rights and Obligations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All members receive services in the official language of their choice.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Only regular members in good standing vote and stand for election.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Every member complies with the bylaws, policies and code of ethics.</w:t>
      </w:r>
    </w:p>
    <w:p>
      <w:pPr>
        <w:pStyle w:val="Heading2"/>
      </w:pPr>
      <w:r>
        <w:t xml:space="preserve">5. Renewal</w:t>
      </w:r>
    </w:p>
    <w:p>
      <w:pPr>
        <w:spacing w:after="140"/>
      </w:pPr>
      <w:r>
        <w:t xml:space="preserve">Membership renews annually. Notice is sent 30 days before expiry. Non-payment within 60 days results in suspension.</w:t>
      </w:r>
    </w:p>
    <w:p>
      <w:pPr>
        <w:pStyle w:val="Heading2"/>
      </w:pPr>
      <w:r>
        <w:t xml:space="preserve">6. Resignation and Readmission</w:t>
      </w:r>
    </w:p>
    <w:p>
      <w:pPr>
        <w:spacing w:after="140"/>
      </w:pPr>
      <w:r>
        <w:t xml:space="preserve">A member may resign by written notice. Readmission is possible upon payment of dues owed and review of the file.</w:t>
      </w:r>
    </w:p>
    <w:p>
      <w:pPr>
        <w:pStyle w:val="Heading2"/>
      </w:pPr>
      <w:r>
        <w:t xml:space="preserve">7. Protection of Information</w:t>
      </w:r>
    </w:p>
    <w:p>
      <w:pPr>
        <w:spacing w:after="140"/>
      </w:pPr>
      <w:r>
        <w:t xml:space="preserve">Information collected is handled in accordance with the Privacy Policy.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Politique d'adhésion / Membership Policy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d'adhésion / Membership Policy</dc:title>
  <dc:creator>APCNB / NBPAC</dc:creator>
  <cp:lastModifiedBy>Un-named</cp:lastModifiedBy>
  <cp:revision>1</cp:revision>
  <dcterms:created xsi:type="dcterms:W3CDTF">2026-09-09T02:05:41.913Z</dcterms:created>
  <dcterms:modified xsi:type="dcterms:W3CDTF">2026-09-09T02:05:41.913Z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