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b/>
          <w:bCs/>
          <w:color w:val="B08A3E"/>
          <w:sz w:val="18"/>
          <w:szCs w:val="18"/>
        </w:rPr>
        <w:t xml:space="preserve">ENGLISH</w:t>
      </w:r>
    </w:p>
    <w:p>
      <w:pPr>
        <w:pStyle w:val="Heading1"/>
      </w:pPr>
      <w:r>
        <w:t xml:space="preserve">Training-Accreditation Policy</w:t>
      </w:r>
    </w:p>
    <w:p>
      <w:pPr>
        <w:pBdr>
          <w:bottom w:val="single" w:color="B08A3E" w:sz="12" w:space="6"/>
        </w:pBdr>
        <w:spacing w:after="40"/>
      </w:pPr>
    </w:p>
    <w:p>
      <w:pPr>
        <w:spacing w:after="20" w:before="60"/>
      </w:pPr>
      <w:r>
        <w:rPr>
          <w:b/>
          <w:bCs/>
          <w:color w:val="15263F"/>
        </w:rPr>
        <w:t xml:space="preserve">Organization : </w:t>
      </w:r>
      <w:r>
        <w:rPr>
          <w:color w:val="5B6675"/>
        </w:rPr>
        <w:t xml:space="preserve">New Brunswick Professional Association of Criminology (NBPAC)</w:t>
      </w:r>
    </w:p>
    <w:p>
      <w:pPr>
        <w:spacing w:after="220"/>
      </w:pPr>
      <w:r>
        <w:rPr>
          <w:b/>
          <w:bCs/>
          <w:color w:val="15263F"/>
        </w:rPr>
        <w:t xml:space="preserve">Version : </w:t>
      </w:r>
      <w:r>
        <w:rPr>
          <w:color w:val="5B6675"/>
        </w:rPr>
        <w:t xml:space="preserve">1.0    </w:t>
      </w:r>
      <w:r>
        <w:rPr>
          <w:b/>
          <w:bCs/>
          <w:color w:val="15263F"/>
        </w:rPr>
        <w:t xml:space="preserve">Adopted : </w:t>
      </w:r>
      <w:r>
        <w:rPr>
          <w:color w:val="5B6675"/>
        </w:rPr>
        <w:t xml:space="preserve">June 2, 2026</w:t>
      </w:r>
    </w:p>
    <w:p>
      <w:pPr>
        <w:spacing w:after="200"/>
      </w:pPr>
      <w:r>
        <w:rPr>
          <w:i/>
          <w:iCs/>
          <w:color w:val="5B6675"/>
          <w:sz w:val="24"/>
          <w:szCs w:val="24"/>
        </w:rPr>
        <w:t xml:space="preserve">This policy governs the accreditation of continuing-education activities and the awarding of continuing-education units (CEUs), including training offered by external partners.</w:t>
      </w:r>
    </w:p>
    <w:p>
      <w:pPr>
        <w:pStyle w:val="Heading2"/>
      </w:pPr>
      <w:r>
        <w:t xml:space="preserve">1. Purpose</w:t>
      </w:r>
    </w:p>
    <w:p>
      <w:pPr>
        <w:spacing w:after="140"/>
      </w:pPr>
      <w:r>
        <w:t xml:space="preserve">To ensure the quality, relevance and rigour of training recognized by the NBPAC, and to clarify the role of external instructors and partners.</w:t>
      </w:r>
    </w:p>
    <w:p>
      <w:pPr>
        <w:pStyle w:val="Heading2"/>
      </w:pPr>
      <w:r>
        <w:t xml:space="preserve">2. Scope</w:t>
      </w:r>
    </w:p>
    <w:p>
      <w:pPr>
        <w:spacing w:after="140"/>
      </w:pPr>
      <w:r>
        <w:t xml:space="preserve">This policy applies to </w:t>
      </w:r>
      <w:r>
        <w:rPr>
          <w:b/>
          <w:bCs/>
        </w:rPr>
        <w:t xml:space="preserve">synchronous</w:t>
      </w:r>
      <w:r>
        <w:t xml:space="preserve"> training (live: webinars, workshops) and </w:t>
      </w:r>
      <w:r>
        <w:rPr>
          <w:b/>
          <w:bCs/>
        </w:rPr>
        <w:t xml:space="preserve">asynchronous</w:t>
      </w:r>
      <w:r>
        <w:t xml:space="preserve"> training (self-paced: online courses, recorded modules), whether designed by the Association or by partners (universities, organizations, professionals).</w:t>
      </w:r>
    </w:p>
    <w:p>
      <w:pPr>
        <w:pStyle w:val="Heading2"/>
      </w:pPr>
      <w:r>
        <w:t xml:space="preserve">3. Accreditation criteria</w:t>
      </w:r>
    </w:p>
    <w:p>
      <w:pPr>
        <w:pStyle w:val="ListParagraph"/>
        <w:numPr>
          <w:ilvl w:val="0"/>
          <w:numId w:val="2"/>
        </w:numPr>
        <w:spacing w:after="60"/>
      </w:pPr>
      <w:r>
        <w:t xml:space="preserve">Relevance to the criminologist's scope of practice (crime and justice) and to the profession's needs.</w:t>
      </w:r>
    </w:p>
    <w:p>
      <w:pPr>
        <w:pStyle w:val="ListParagraph"/>
        <w:numPr>
          <w:ilvl w:val="0"/>
          <w:numId w:val="2"/>
        </w:numPr>
        <w:spacing w:after="60"/>
      </w:pPr>
      <w:r>
        <w:t xml:space="preserve">Clear, measurable learning objectives.</w:t>
      </w:r>
    </w:p>
    <w:p>
      <w:pPr>
        <w:pStyle w:val="ListParagraph"/>
        <w:numPr>
          <w:ilvl w:val="0"/>
          <w:numId w:val="2"/>
        </w:numPr>
        <w:spacing w:after="60"/>
      </w:pPr>
      <w:r>
        <w:t xml:space="preserve">Rigorous, current and evidence-based content.</w:t>
      </w:r>
    </w:p>
    <w:p>
      <w:pPr>
        <w:pStyle w:val="ListParagraph"/>
        <w:numPr>
          <w:ilvl w:val="0"/>
          <w:numId w:val="2"/>
        </w:numPr>
        <w:spacing w:after="60"/>
      </w:pPr>
      <w:r>
        <w:t xml:space="preserve">Instructor qualifications: recognized academic or professional expertise.</w:t>
      </w:r>
    </w:p>
    <w:p>
      <w:pPr>
        <w:pStyle w:val="ListParagraph"/>
        <w:numPr>
          <w:ilvl w:val="0"/>
          <w:numId w:val="2"/>
        </w:numPr>
        <w:spacing w:after="60"/>
      </w:pPr>
      <w:r>
        <w:t xml:space="preserve">A method to confirm participation (attendance, assessment or attestation).</w:t>
      </w:r>
    </w:p>
    <w:p>
      <w:pPr>
        <w:pStyle w:val="ListParagraph"/>
        <w:numPr>
          <w:ilvl w:val="0"/>
          <w:numId w:val="2"/>
        </w:numPr>
        <w:spacing w:after="60"/>
      </w:pPr>
      <w:r>
        <w:t xml:space="preserve">Compliance with ethics and scope-of-practice limits; no act reserved to a regulated profession.</w:t>
      </w:r>
    </w:p>
    <w:p>
      <w:pPr>
        <w:pStyle w:val="Heading2"/>
      </w:pPr>
      <w:r>
        <w:t xml:space="preserve">4. Awarding CEUs</w:t>
      </w:r>
    </w:p>
    <w:p>
      <w:pPr>
        <w:spacing w:after="140"/>
      </w:pPr>
      <w:r>
        <w:t xml:space="preserve">One CEU equals one hour of recognized activity. CEUs awarded count toward the annual requirement in the Continuing Professional Development Policy (20 CEUs per year for regular members, including at least 3 in ethics). Caps by activity type apply.</w:t>
      </w:r>
    </w:p>
    <w:p>
      <w:pPr>
        <w:pStyle w:val="Heading2"/>
      </w:pPr>
      <w:r>
        <w:t xml:space="preserve">5. External instructors and partners</w:t>
      </w:r>
    </w:p>
    <w:p>
      <w:pPr>
        <w:spacing w:after="140"/>
      </w:pPr>
      <w:r>
        <w:t xml:space="preserve">The Association may recognize training designed or delivered by universities — notably through envisaged partnerships, such as with the Université de Moncton — as well as by field professionals. A written agreement sets out the roles, content ownership, language of delivery and accreditation terms.</w:t>
      </w:r>
    </w:p>
    <w:p>
      <w:pPr>
        <w:pStyle w:val="Heading2"/>
      </w:pPr>
      <w:r>
        <w:t xml:space="preserve">6. Application process</w:t>
      </w:r>
    </w:p>
    <w:p>
      <w:pPr>
        <w:pStyle w:val="ListParagraph"/>
        <w:numPr>
          <w:ilvl w:val="0"/>
          <w:numId w:val="3"/>
        </w:numPr>
        <w:spacing w:after="60"/>
      </w:pPr>
      <w:r>
        <w:t xml:space="preserve">Submission of the proposal (title, format, objectives, duration, proposed CEUs, instructor qualifications).</w:t>
      </w:r>
    </w:p>
    <w:p>
      <w:pPr>
        <w:pStyle w:val="ListParagraph"/>
        <w:numPr>
          <w:ilvl w:val="0"/>
          <w:numId w:val="3"/>
        </w:numPr>
        <w:spacing w:after="60"/>
      </w:pPr>
      <w:r>
        <w:t xml:space="preserve">Review by the continuing-education committee against the above criteria.</w:t>
      </w:r>
    </w:p>
    <w:p>
      <w:pPr>
        <w:pStyle w:val="ListParagraph"/>
        <w:numPr>
          <w:ilvl w:val="0"/>
          <w:numId w:val="3"/>
        </w:numPr>
        <w:spacing w:after="60"/>
      </w:pPr>
      <w:r>
        <w:t xml:space="preserve">A reasoned decision communicated to the applicant.</w:t>
      </w:r>
    </w:p>
    <w:p>
      <w:pPr>
        <w:pStyle w:val="ListParagraph"/>
        <w:numPr>
          <w:ilvl w:val="0"/>
          <w:numId w:val="3"/>
        </w:numPr>
        <w:spacing w:after="60"/>
      </w:pPr>
      <w:r>
        <w:t xml:space="preserve">Accreditation valid for a set period (e.g. three years), renewable.</w:t>
      </w:r>
    </w:p>
    <w:p>
      <w:pPr>
        <w:pStyle w:val="ListParagraph"/>
        <w:numPr>
          <w:ilvl w:val="0"/>
          <w:numId w:val="3"/>
        </w:numPr>
        <w:spacing w:after="60"/>
      </w:pPr>
      <w:r>
        <w:t xml:space="preserve">Quality monitoring and participant feedback.</w:t>
      </w:r>
    </w:p>
    <w:p>
      <w:pPr>
        <w:pStyle w:val="Heading2"/>
      </w:pPr>
      <w:r>
        <w:t xml:space="preserve">7. Bilingualism</w:t>
      </w:r>
    </w:p>
    <w:p>
      <w:pPr>
        <w:spacing w:after="140"/>
      </w:pPr>
      <w:r>
        <w:t xml:space="preserve">The Association promotes training in both official languages and encourages partners to make their content available in French and English.</w:t>
      </w:r>
    </w:p>
    <w:p>
      <w:pPr>
        <w:pStyle w:val="Heading2"/>
      </w:pPr>
      <w:r>
        <w:t xml:space="preserve">8. Register and review</w:t>
      </w:r>
    </w:p>
    <w:p>
      <w:pPr>
        <w:spacing w:after="140"/>
      </w:pPr>
      <w:r>
        <w:t xml:space="preserve">The Association keeps a register of accredited training and periodically reviews this policy.</w:t>
      </w:r>
    </w:p>
    <w:p>
      <w:pPr>
        <w:pBdr>
          <w:left w:val="single" w:color="B08A3E" w:sz="18" w:space="8"/>
        </w:pBdr>
        <w:shd w:fill="F4EEDD" w:val="clear"/>
        <w:spacing w:after="160" w:before="120"/>
      </w:pPr>
      <w:r>
        <w:t xml:space="preserve">Note: This policy guides the recognition of training. Any partnership or accreditation agreement should be validated by New Brunswick legal counsel.</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6" w:space="6"/>
      </w:pBdr>
      <w:jc w:val="center"/>
    </w:pPr>
    <w:r>
      <w:rPr>
        <w:color w:val="5B6675"/>
        <w:sz w:val="15"/>
        <w:szCs w:val="15"/>
      </w:rPr>
      <w:t xml:space="preserve">C.P. 0000, Fredericton (Nouveau-Brunswick) E3B 0A0   ·   info@apcnb.ca   ·   </w:t>
    </w:r>
    <w:r>
      <w:rPr>
        <w:color w:val="5B6675"/>
        <w:sz w:val="15"/>
        <w:szCs w:val="15"/>
      </w:rPr>
      <w:fldChar w:fldCharType="begin"/>
      <w:instrText xml:space="preserve">PAGE</w:instrText>
      <w:fldChar w:fldCharType="separate"/>
      <w:fldChar w:fldCharType="end"/>
    </w:r>
    <w:r>
      <w:rPr>
        <w:color w:val="5B6675"/>
        <w:sz w:val="15"/>
        <w:szCs w:val="15"/>
      </w:rPr>
      <w:t xml:space="preserve">/</w:t>
    </w:r>
    <w:r>
      <w:rPr>
        <w:color w:val="5B6675"/>
        <w:sz w:val="15"/>
        <w:szCs w:val="15"/>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CCCCC" w:sz="6" w:space="6"/>
      </w:pBdr>
      <w:tabs>
        <w:tab w:val="right" w:pos="9360"/>
      </w:tabs>
      <w:spacing w:after="60"/>
    </w:pPr>
    <w:r>
      <w:drawing>
        <wp:inline distT="0" distB="0" distL="0" distR="0">
          <wp:extent cx="285750" cy="285750"/>
          <wp:effectExtent t="0" r="0" b="0" l="0"/>
          <wp:docPr id="1" name="logo" descr="Sceau" title="APCN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285750" cy="285750"/>
                  </a:xfrm>
                  <a:prstGeom prst="rect">
                    <a:avLst/>
                  </a:prstGeom>
                </pic:spPr>
              </pic:pic>
            </a:graphicData>
          </a:graphic>
        </wp:inline>
      </w:drawing>
    </w:r>
    <w:r>
      <w:rPr>
        <w:b/>
        <w:bCs/>
        <w:color w:val="15263F"/>
        <w:sz w:val="18"/>
        <w:szCs w:val="18"/>
      </w:rPr>
      <w:t xml:space="preserve">  APCNB · NBPAC</w:t>
    </w:r>
    <w:r>
      <w:rPr>
        <w:color w:val="5B6675"/>
        <w:sz w:val="16"/>
        <w:szCs w:val="16"/>
      </w:rPr>
      <w:t xml:space="preserve">	Accréditation des formations / Training accreditation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60" w:hanging="280"/>
      </w:pPr>
    </w:lvl>
  </w:abstractNum>
  <w:abstractNum w:abstractNumId="3" w15:restartNumberingAfterBreak="0">
    <w:multiLevelType w:val="hybridMultilevel"/>
    <w:lvl w:ilvl="0" w15:tentative="1">
      <w:start w:val="1"/>
      <w:numFmt w:val="decimal"/>
      <w:lvlText w:val="%1."/>
      <w:lvlJc w:val="left"/>
      <w:pPr>
        <w:ind w:left="560" w:hanging="28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B233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120"/>
      <w:outlineLvl w:val="0"/>
    </w:pPr>
    <w:rPr>
      <w:rFonts w:ascii="Georgia" w:cs="Georgia" w:eastAsia="Georgia" w:hAnsi="Georgia"/>
      <w:b/>
      <w:bCs/>
      <w:color w:val="15263F"/>
      <w:sz w:val="34"/>
      <w:szCs w:val="34"/>
    </w:rPr>
  </w:style>
  <w:style w:type="paragraph" w:styleId="Heading2">
    <w:name w:val="Heading 2"/>
    <w:basedOn w:val="Normal"/>
    <w:next w:val="Normal"/>
    <w:qFormat/>
    <w:pPr>
      <w:spacing w:after="100" w:before="240"/>
      <w:outlineLvl w:val="1"/>
    </w:pPr>
    <w:rPr>
      <w:rFonts w:ascii="Georgia" w:cs="Georgia" w:eastAsia="Georgia" w:hAnsi="Georgia"/>
      <w:b/>
      <w:bCs/>
      <w:color w:val="15263F"/>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3c6fb9fb65dd3b7dedf4e6e2050424e5d6341c68.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Politique d'accréditation des formations / Training-Accreditation Policy</dc:title>
  <dc:creator>APCNB / NBPAC</dc:creator>
  <cp:lastModifiedBy>Un-named</cp:lastModifiedBy>
  <cp:revision>1</cp:revision>
  <dcterms:created xsi:type="dcterms:W3CDTF">2026-09-09T02:05:42.219Z</dcterms:created>
  <dcterms:modified xsi:type="dcterms:W3CDTF">2026-09-09T02:05:42.219Z</dcterms:modified>
</cp:coreProperties>
</file>

<file path=docProps/custom.xml><?xml version="1.0" encoding="utf-8"?>
<Properties xmlns="http://schemas.openxmlformats.org/officeDocument/2006/custom-properties" xmlns:vt="http://schemas.openxmlformats.org/officeDocument/2006/docPropsVTypes"/>
</file>