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rPr>
          <w:b/>
          <w:bCs/>
          <w:color w:val="B08A3E"/>
          <w:sz w:val="18"/>
          <w:szCs w:val="18"/>
        </w:rPr>
        <w:t xml:space="preserve">ENGLISH</w:t>
      </w:r>
    </w:p>
    <w:p>
      <w:pPr>
        <w:pStyle w:val="Heading1"/>
      </w:pPr>
      <w:r>
        <w:t xml:space="preserve">Criminologist competency framework</w:t>
      </w:r>
    </w:p>
    <w:p>
      <w:pPr>
        <w:pBdr>
          <w:bottom w:val="single" w:color="B08A3E" w:sz="12" w:space="6"/>
        </w:pBdr>
        <w:spacing w:after="40"/>
      </w:pPr>
    </w:p>
    <w:p>
      <w:pPr>
        <w:spacing w:after="20" w:before="60"/>
      </w:pPr>
      <w:r>
        <w:rPr>
          <w:b/>
          <w:bCs/>
          <w:color w:val="15263F"/>
        </w:rPr>
        <w:t xml:space="preserve">Organization : </w:t>
      </w:r>
      <w:r>
        <w:rPr>
          <w:color w:val="5B6675"/>
        </w:rPr>
        <w:t xml:space="preserve">New Brunswick Professional Association of Criminology (NBPAC)</w:t>
      </w:r>
    </w:p>
    <w:p>
      <w:pPr>
        <w:spacing w:after="220"/>
      </w:pPr>
      <w:r>
        <w:rPr>
          <w:b/>
          <w:bCs/>
          <w:color w:val="15263F"/>
        </w:rPr>
        <w:t xml:space="preserve">Version : </w:t>
      </w:r>
      <w:r>
        <w:rPr>
          <w:color w:val="5B6675"/>
        </w:rPr>
        <w:t xml:space="preserve">1.0    </w:t>
      </w:r>
      <w:r>
        <w:rPr>
          <w:b/>
          <w:bCs/>
          <w:color w:val="15263F"/>
        </w:rPr>
        <w:t xml:space="preserve">Adopted : </w:t>
      </w:r>
      <w:r>
        <w:rPr>
          <w:color w:val="5B6675"/>
        </w:rPr>
        <w:t xml:space="preserve">June 2, 2026</w:t>
      </w:r>
    </w:p>
    <w:p>
      <w:pPr>
        <w:spacing w:after="200"/>
      </w:pPr>
      <w:r>
        <w:rPr>
          <w:i/>
          <w:iCs/>
          <w:color w:val="5B6675"/>
          <w:sz w:val="24"/>
          <w:szCs w:val="24"/>
        </w:rPr>
        <w:t xml:space="preserve">This framework describes the competencies expected of the criminologist in New Brunswick. It supports admission, continuing education and the professional-recognition request.</w:t>
      </w:r>
    </w:p>
    <w:p>
      <w:pPr>
        <w:pStyle w:val="Heading2"/>
      </w:pPr>
      <w:r>
        <w:t xml:space="preserve">1. Foundational knowledge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Know criminological theories and the factors behind crime and victimization.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Understand the criminal-justice system, applicable law and correctional institutions.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Master research methods and data analysis in the social sciences.</w:t>
      </w:r>
    </w:p>
    <w:p>
      <w:pPr>
        <w:pStyle w:val="Heading2"/>
      </w:pPr>
      <w:r>
        <w:t xml:space="preserve">2. Assessment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Assess criminogenic risk and needs using structured or actuarial tools.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Analyze a situation and draw evidence-based conclusions.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Recognize the limits of one's assessment and refrain from any reserved clinical diagnosis.</w:t>
      </w:r>
    </w:p>
    <w:p>
      <w:pPr>
        <w:pStyle w:val="Heading2"/>
      </w:pPr>
      <w:r>
        <w:t xml:space="preserve">3. Intervention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Develop, implement and evaluate intervention plans and programs.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Support social reintegration and accompany victims (non-clinical support).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Facilitate restorative-justice and mediation processes.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Design crime-prevention and community-safety strategies.</w:t>
      </w:r>
    </w:p>
    <w:p>
      <w:pPr>
        <w:pStyle w:val="Heading2"/>
      </w:pPr>
      <w:r>
        <w:t xml:space="preserve">4. Ethics and professionalism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Comply with the code of ethics and the limits of one's scope of practice.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Refer the person to the competent profession when needed (duty of referral).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Protect confidentiality and manage conflicts of interest.</w:t>
      </w:r>
    </w:p>
    <w:p>
      <w:pPr>
        <w:pStyle w:val="Heading2"/>
      </w:pPr>
      <w:r>
        <w:t xml:space="preserve">5. Communication and collaboration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Write clear reports and testify before courts within the limits of one's competence.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Work interdisciplinarily with other professions.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Provide services in both official languages, according to the person's choice.</w:t>
      </w:r>
    </w:p>
    <w:p>
      <w:pPr>
        <w:pStyle w:val="Heading2"/>
      </w:pPr>
      <w:r>
        <w:t xml:space="preserve">6. Critical thinking and development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Critically appraise practices and programs.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Maintain and update one's competencies through continuing education.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Contribute to the advancement of knowledge and policy.</w:t>
      </w:r>
    </w:p>
    <w:sectPr>
      <w:headerReference w:type="default" r:id="rId7"/>
      <w:footerReference w:type="default" r:id="rId8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CCCCCC" w:sz="6" w:space="6"/>
      </w:pBdr>
      <w:jc w:val="center"/>
    </w:pPr>
    <w:r>
      <w:rPr>
        <w:color w:val="5B6675"/>
        <w:sz w:val="15"/>
        <w:szCs w:val="15"/>
      </w:rPr>
      <w:t xml:space="preserve">C.P. 0000, Fredericton (Nouveau-Brunswick) E3B 0A0   ·   info@apcnb.ca   ·   </w:t>
    </w:r>
    <w:r>
      <w:rPr>
        <w:color w:val="5B6675"/>
        <w:sz w:val="15"/>
        <w:szCs w:val="15"/>
      </w:rPr>
      <w:fldChar w:fldCharType="begin"/>
      <w:instrText xml:space="preserve">PAGE</w:instrText>
      <w:fldChar w:fldCharType="separate"/>
      <w:fldChar w:fldCharType="end"/>
    </w:r>
    <w:r>
      <w:rPr>
        <w:color w:val="5B6675"/>
        <w:sz w:val="15"/>
        <w:szCs w:val="15"/>
      </w:rPr>
      <w:t xml:space="preserve">/</w:t>
    </w:r>
    <w:r>
      <w:rPr>
        <w:color w:val="5B6675"/>
        <w:sz w:val="15"/>
        <w:szCs w:val="15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CCCCCC" w:sz="6" w:space="6"/>
      </w:pBdr>
      <w:tabs>
        <w:tab w:val="right" w:pos="9360"/>
      </w:tabs>
      <w:spacing w:after="60"/>
    </w:pPr>
    <w:r>
      <w:drawing>
        <wp:inline distT="0" distB="0" distL="0" distR="0">
          <wp:extent cx="285750" cy="285750"/>
          <wp:effectExtent t="0" r="0" b="0" l="0"/>
          <wp:docPr id="1" name="logo" descr="Sceau" title="APCN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"/>
                  <pic:cNvPicPr>
                    <a:picLocks noChangeAspect="1" noChangeArrowheads="1"/>
                  </pic:cNvPicPr>
                </pic:nvPicPr>
                <pic:blipFill>
                  <a:blip r:embed="rId0" cstate="none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b/>
        <w:bCs/>
        <w:color w:val="15263F"/>
        <w:sz w:val="18"/>
        <w:szCs w:val="18"/>
      </w:rPr>
      <w:t xml:space="preserve">  APCNB · NBPAC</w:t>
    </w:r>
    <w:r>
      <w:rPr>
        <w:color w:val="5B6675"/>
        <w:sz w:val="16"/>
        <w:szCs w:val="16"/>
      </w:rPr>
      <w:t xml:space="preserve">	Grille de compétences / Competency framework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560" w:hanging="28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color w:val="1B2330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120"/>
      <w:outlineLvl w:val="0"/>
    </w:pPr>
    <w:rPr>
      <w:rFonts w:ascii="Georgia" w:cs="Georgia" w:eastAsia="Georgia" w:hAnsi="Georgia"/>
      <w:b/>
      <w:bCs/>
      <w:color w:val="15263F"/>
      <w:sz w:val="34"/>
      <w:szCs w:val="34"/>
    </w:rPr>
  </w:style>
  <w:style w:type="paragraph" w:styleId="Heading2">
    <w:name w:val="Heading 2"/>
    <w:basedOn w:val="Normal"/>
    <w:next w:val="Normal"/>
    <w:qFormat/>
    <w:pPr>
      <w:spacing w:after="100" w:before="240"/>
      <w:outlineLvl w:val="1"/>
    </w:pPr>
    <w:rPr>
      <w:rFonts w:ascii="Georgia" w:cs="Georgia" w:eastAsia="Georgia" w:hAnsi="Georgia"/>
      <w:b/>
      <w:bCs/>
      <w:color w:val="15263F"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3c6fb9fb65dd3b7dedf4e6e2050424e5d6341c68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Grille de compétences du criminologue / Criminologist competency framework</dc:title>
  <dc:creator>APCNB / NBPAC</dc:creator>
  <cp:lastModifiedBy>Un-named</cp:lastModifiedBy>
  <cp:revision>1</cp:revision>
  <dcterms:created xsi:type="dcterms:W3CDTF">2026-09-09T02:05:42.124Z</dcterms:created>
  <dcterms:modified xsi:type="dcterms:W3CDTF">2026-09-09T02:05:42.125Z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