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June 2, 2026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The Honourable Minister</w:t>
      </w:r>
    </w:p>
    <w:p>
      <w:pPr>
        <w:spacing w:after="80"/>
      </w:pPr>
      <w:r>
        <w:rPr>
          <w:color w:val="1B2330"/>
          <w:sz w:val="22"/>
          <w:szCs w:val="22"/>
        </w:rPr>
        <w:t xml:space="preserve">Department of Justice and Public Safety</w:t>
      </w:r>
    </w:p>
    <w:p>
      <w:pPr>
        <w:spacing w:after="80"/>
      </w:pPr>
      <w:r>
        <w:rPr>
          <w:color w:val="1B2330"/>
          <w:sz w:val="22"/>
          <w:szCs w:val="22"/>
        </w:rPr>
        <w:t xml:space="preserve">Fredericton, New 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Re: Recognizing and protecting the criminologist title in New 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Dear Minister,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On behalf of the New Brunswick Professional Association of Criminology (NBPAC), I am honoured to submit the attached brief in support of recognizing and protecting the title of “criminologist” in our province.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 New Brunswick, this title is protected by no law: anyone may claim it, with no recognized training or ethical oversight. Yet criminologists work with vulnerable people and inform important justice decisions. Protection of the public calls for clear oversight.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The NBPAC already has bylaws, a code of ethics, a scope-of-practice standard and a complaints-handling process. Our initiative is meant to complement the professions already regulated — social work, psychology and counselling therapy — not to compete with them.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We would be honoured to meet with you to present our proposal and explore possible paths, including a title-protection bill. Our services and oversight are offered in both official languages.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Please accept, Minister, the expression of our high regard.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The President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New Brunswick Professional Association of Criminology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info@apcnb.ca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2026-09-09T02:05:42.395Z</dcterms:created>
  <dcterms:modified xsi:type="dcterms:W3CDTF">2026-09-09T02:05:42.395Z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