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rPr>
          <w:b/>
          <w:bCs/>
          <w:color w:val="B08A3E"/>
          <w:sz w:val="18"/>
          <w:szCs w:val="18"/>
        </w:rPr>
        <w:t xml:space="preserve">ENGLISH</w:t>
      </w:r>
    </w:p>
    <w:p>
      <w:pPr>
        <w:pStyle w:val="Heading1"/>
      </w:pPr>
      <w:r>
        <w:t xml:space="preserve">Brief in Support of Recognizing and Protecting the Criminologist Title in New Brunswick</w:t>
      </w:r>
    </w:p>
    <w:p>
      <w:pPr>
        <w:pBdr>
          <w:bottom w:val="single" w:color="B08A3E" w:sz="12" w:space="6"/>
        </w:pBdr>
        <w:spacing w:after="40"/>
      </w:pPr>
    </w:p>
    <w:p>
      <w:pPr>
        <w:spacing w:after="20" w:before="60"/>
      </w:pPr>
      <w:r>
        <w:rPr>
          <w:b/>
          <w:bCs/>
          <w:color w:val="15263F"/>
        </w:rPr>
        <w:t xml:space="preserve">Organization : </w:t>
      </w:r>
      <w:r>
        <w:rPr>
          <w:color w:val="5B6675"/>
        </w:rPr>
        <w:t xml:space="preserve">New Brunswick Professional Association of Criminology (NBPAC)</w:t>
      </w:r>
    </w:p>
    <w:p>
      <w:pPr>
        <w:spacing w:after="220"/>
      </w:pPr>
      <w:r>
        <w:rPr>
          <w:b/>
          <w:bCs/>
          <w:color w:val="15263F"/>
        </w:rPr>
        <w:t xml:space="preserve">Version : </w:t>
      </w:r>
      <w:r>
        <w:rPr>
          <w:color w:val="5B6675"/>
        </w:rPr>
        <w:t xml:space="preserve">1.0    </w:t>
      </w:r>
      <w:r>
        <w:rPr>
          <w:b/>
          <w:bCs/>
          <w:color w:val="15263F"/>
        </w:rPr>
        <w:t xml:space="preserve">Adopted : </w:t>
      </w:r>
      <w:r>
        <w:rPr>
          <w:color w:val="5B6675"/>
        </w:rPr>
        <w:t xml:space="preserve">June 2, 2026</w:t>
      </w:r>
    </w:p>
    <w:p>
      <w:pPr>
        <w:spacing w:after="200"/>
      </w:pPr>
      <w:r>
        <w:rPr>
          <w:i/>
          <w:iCs/>
          <w:color w:val="5B6675"/>
          <w:sz w:val="24"/>
          <w:szCs w:val="24"/>
        </w:rPr>
        <w:t xml:space="preserve">Brief respectfully submitted by the New Brunswick Professional Association of Criminology (NBPAC) in support of recognizing and protecting the title of “criminologist” in New Brunswick.</w:t>
      </w:r>
    </w:p>
    <w:p>
      <w:pPr>
        <w:pStyle w:val="Heading2"/>
      </w:pPr>
      <w:r>
        <w:t xml:space="preserve">Executive summary</w:t>
      </w:r>
    </w:p>
    <w:p>
      <w:pPr>
        <w:spacing w:after="140"/>
      </w:pPr>
      <w:r>
        <w:t xml:space="preserve">In New Brunswick, anyone may currently present themselves as a “criminologist”, with no recognized training or ethical oversight. The NBPAC proposes </w:t>
      </w:r>
      <w:r>
        <w:rPr>
          <w:b/>
          <w:bCs/>
        </w:rPr>
        <w:t xml:space="preserve">title protection</w:t>
      </w:r>
      <w:r>
        <w:t xml:space="preserve">, together with competence standards, a code of ethics and a complaints process, in order to </w:t>
      </w:r>
      <w:r>
        <w:rPr>
          <w:b/>
          <w:bCs/>
        </w:rPr>
        <w:t xml:space="preserve">protect the public</w:t>
      </w:r>
      <w:r>
        <w:t xml:space="preserve"> — without encroaching on the professions already regulated. This brief sets out the context, the public-protection rationale, and a model suited to New Brunswick and its bilingual character.</w:t>
      </w:r>
    </w:p>
    <w:p>
      <w:pPr>
        <w:pStyle w:val="Heading2"/>
      </w:pPr>
      <w:r>
        <w:t xml:space="preserve">1. About the NBPAC</w:t>
      </w:r>
    </w:p>
    <w:p>
      <w:pPr>
        <w:spacing w:after="140"/>
      </w:pPr>
      <w:r>
        <w:t xml:space="preserve">The NBPAC is a not-for-profit, bilingual professional association bringing together New Brunswick's criminologists. It has adopted bylaws, a code of ethics, membership categories, a continuing-education policy, a complaints-handling policy and a scope-of-practice standard. The Association is therefore already structured to take on an oversight role.</w:t>
      </w:r>
    </w:p>
    <w:p>
      <w:pPr>
        <w:pStyle w:val="Heading2"/>
      </w:pPr>
      <w:r>
        <w:t xml:space="preserve">2. Context and problem</w:t>
      </w:r>
    </w:p>
    <w:p>
      <w:pPr>
        <w:pStyle w:val="ListParagraph"/>
        <w:numPr>
          <w:ilvl w:val="0"/>
          <w:numId w:val="2"/>
        </w:numPr>
        <w:spacing w:after="60"/>
      </w:pPr>
      <w:r>
        <w:t xml:space="preserve">The title “criminologist” is protected by no law in New Brunswick: anyone may use it.</w:t>
      </w:r>
    </w:p>
    <w:p>
      <w:pPr>
        <w:pStyle w:val="ListParagraph"/>
        <w:numPr>
          <w:ilvl w:val="0"/>
          <w:numId w:val="2"/>
        </w:numPr>
        <w:spacing w:after="60"/>
      </w:pPr>
      <w:r>
        <w:t xml:space="preserve">No training or conduct standard currently applies to those who claim it.</w:t>
      </w:r>
    </w:p>
    <w:p>
      <w:pPr>
        <w:pStyle w:val="ListParagraph"/>
        <w:numPr>
          <w:ilvl w:val="0"/>
          <w:numId w:val="2"/>
        </w:numPr>
        <w:spacing w:after="60"/>
      </w:pPr>
      <w:r>
        <w:t xml:space="preserve">The public, employers and courts have no reliable way to verify the competence of someone calling themselves a criminologist.</w:t>
      </w:r>
    </w:p>
    <w:p>
      <w:pPr>
        <w:pStyle w:val="ListParagraph"/>
        <w:numPr>
          <w:ilvl w:val="0"/>
          <w:numId w:val="2"/>
        </w:numPr>
        <w:spacing w:after="60"/>
      </w:pPr>
      <w:r>
        <w:t xml:space="preserve">No recourse exists against a non-member who practises harmfully.</w:t>
      </w:r>
    </w:p>
    <w:p>
      <w:pPr>
        <w:pStyle w:val="ListParagraph"/>
        <w:numPr>
          <w:ilvl w:val="0"/>
          <w:numId w:val="2"/>
        </w:numPr>
        <w:spacing w:after="60"/>
      </w:pPr>
      <w:r>
        <w:t xml:space="preserve">The number of criminology graduates in New Brunswick warrants clear oversight of the profession.</w:t>
      </w:r>
    </w:p>
    <w:p>
      <w:pPr>
        <w:pStyle w:val="Heading2"/>
      </w:pPr>
      <w:r>
        <w:t xml:space="preserve">3. Protection of the public — the basis for action</w:t>
      </w:r>
    </w:p>
    <w:p>
      <w:pPr>
        <w:spacing w:after="140"/>
      </w:pPr>
      <w:r>
        <w:t xml:space="preserve">The only legitimate basis for regulating a profession is the protection of the public. Criminologists work with vulnerable people — victims, people who have offended, youth — and inform decisions with significant consequences (risk assessment, reintegration, correctional programs). Competence standards and accountability protect the people served and strengthen public trust.</w:t>
      </w:r>
    </w:p>
    <w:p>
      <w:pPr>
        <w:pStyle w:val="Heading2"/>
      </w:pPr>
      <w:r>
        <w:t xml:space="preserve">4. The criminologist: definition and scope</w:t>
      </w:r>
    </w:p>
    <w:p>
      <w:pPr>
        <w:spacing w:after="140"/>
      </w:pPr>
      <w:r>
        <w:t xml:space="preserve">The criminologist studies the phenomenon of crime, victimization and the justice system, and applies that knowledge to prevention, to the assessment and support of people in contact with justice, and to research and advice. Their scope is defined by competence and the justice domain; they perform no clinical acts reserved to other professions. The detailed scope is set out in the NBPAC Scope-of-Practice Standard.</w:t>
      </w:r>
    </w:p>
    <w:p>
      <w:pPr>
        <w:pStyle w:val="Heading2"/>
      </w:pPr>
      <w:r>
        <w:t xml:space="preserve">5. Complementarity with regulated professions</w:t>
      </w:r>
    </w:p>
    <w:p>
      <w:pPr>
        <w:spacing w:after="140"/>
      </w:pPr>
      <w:r>
        <w:t xml:space="preserve">This initiative seeks no encroachment. The criminologist defers to New Brunswick's regulated professions: </w:t>
      </w:r>
      <w:r>
        <w:rPr>
          <w:b/>
          <w:bCs/>
        </w:rPr>
        <w:t xml:space="preserve">social work</w:t>
      </w:r>
      <w:r>
        <w:t xml:space="preserve"> (NBASW / ATSNB), </w:t>
      </w:r>
      <w:r>
        <w:rPr>
          <w:b/>
          <w:bCs/>
        </w:rPr>
        <w:t xml:space="preserve">counselling therapy</w:t>
      </w:r>
      <w:r>
        <w:t xml:space="preserve"> (College of Counselling Therapists of N.B.), </w:t>
      </w:r>
      <w:r>
        <w:rPr>
          <w:b/>
          <w:bCs/>
        </w:rPr>
        <w:t xml:space="preserve">psychology</w:t>
      </w:r>
      <w:r>
        <w:t xml:space="preserve"> (College of Psychologists of N.B.), </w:t>
      </w:r>
      <w:r>
        <w:rPr>
          <w:b/>
          <w:bCs/>
        </w:rPr>
        <w:t xml:space="preserve">law</w:t>
      </w:r>
      <w:r>
        <w:t xml:space="preserve"> (Law Society) and </w:t>
      </w:r>
      <w:r>
        <w:rPr>
          <w:b/>
          <w:bCs/>
        </w:rPr>
        <w:t xml:space="preserve">medicine</w:t>
      </w:r>
      <w:r>
        <w:t xml:space="preserve">. The NBPAC wishes to collaborate with these bodies and has already embedded a duty of referral in its code of ethics.</w:t>
      </w:r>
    </w:p>
    <w:p>
      <w:pPr>
        <w:pStyle w:val="Heading2"/>
      </w:pPr>
      <w:r>
        <w:t xml:space="preserve">6. Canadian context and precedents</w:t>
      </w:r>
    </w:p>
    <w:p>
      <w:pPr>
        <w:spacing w:after="140"/>
      </w:pPr>
      <w:r>
        <w:t xml:space="preserve">Quebec has recognized the criminologist as a reserved-title profession since 2015 (Ordre professionnel des criminologues du Québec). New Brunswick, for its part, has recently recognized several human-relations professions: counselling therapy (in force 2017), psychology, and social work (NBASW Act, 2024). The province has also adopted a title-protection regime in financial services. Clear precedents and a proven framework therefore exist.</w:t>
      </w:r>
    </w:p>
    <w:p>
      <w:pPr>
        <w:pStyle w:val="Heading2"/>
      </w:pPr>
      <w:r>
        <w:t xml:space="preserve">7. Proposed model for New Brunswick</w:t>
      </w:r>
    </w:p>
    <w:p>
      <w:pPr>
        <w:pStyle w:val="ListParagraph"/>
        <w:numPr>
          <w:ilvl w:val="0"/>
          <w:numId w:val="3"/>
        </w:numPr>
        <w:spacing w:after="60"/>
      </w:pPr>
      <w:r>
        <w:t xml:space="preserve">Protect the title “criminologist” (and the abbreviation “crim.”) through legislation.</w:t>
      </w:r>
    </w:p>
    <w:p>
      <w:pPr>
        <w:pStyle w:val="ListParagraph"/>
        <w:numPr>
          <w:ilvl w:val="0"/>
          <w:numId w:val="3"/>
        </w:numPr>
        <w:spacing w:after="60"/>
      </w:pPr>
      <w:r>
        <w:t xml:space="preserve">Favour a private member's bill introduced in the Legislative Assembly, as for social work, psychology and counselling therapy.</w:t>
      </w:r>
    </w:p>
    <w:p>
      <w:pPr>
        <w:pStyle w:val="ListParagraph"/>
        <w:numPr>
          <w:ilvl w:val="0"/>
          <w:numId w:val="3"/>
        </w:numPr>
        <w:spacing w:after="60"/>
      </w:pPr>
      <w:r>
        <w:t xml:space="preserve">As a phased alternative, consider a title-protection regime (on the financial-planner model) with an approved credentialing body.</w:t>
      </w:r>
    </w:p>
    <w:p>
      <w:pPr>
        <w:pStyle w:val="ListParagraph"/>
        <w:numPr>
          <w:ilvl w:val="0"/>
          <w:numId w:val="3"/>
        </w:numPr>
        <w:spacing w:after="60"/>
      </w:pPr>
      <w:r>
        <w:t xml:space="preserve">Task the NBPAC with setting and maintaining standards of admission, ethics, continuing education and complaints handling — already in place.</w:t>
      </w:r>
    </w:p>
    <w:p>
      <w:pPr>
        <w:pStyle w:val="ListParagraph"/>
        <w:numPr>
          <w:ilvl w:val="0"/>
          <w:numId w:val="3"/>
        </w:numPr>
        <w:spacing w:after="60"/>
      </w:pPr>
      <w:r>
        <w:t xml:space="preserve">Guarantee that services and oversight are delivered in both official languages.</w:t>
      </w:r>
    </w:p>
    <w:p>
      <w:pPr>
        <w:pStyle w:val="ListParagraph"/>
        <w:numPr>
          <w:ilvl w:val="0"/>
          <w:numId w:val="3"/>
        </w:numPr>
        <w:spacing w:after="60"/>
      </w:pPr>
      <w:r>
        <w:t xml:space="preserve">Provide for a transition period and consultation with existing regulators.</w:t>
      </w:r>
    </w:p>
    <w:p>
      <w:pPr>
        <w:pStyle w:val="Heading2"/>
      </w:pPr>
      <w:r>
        <w:t xml:space="preserve">8. Expected benefits</w:t>
      </w:r>
    </w:p>
    <w:p>
      <w:pPr>
        <w:pStyle w:val="ListParagraph"/>
        <w:numPr>
          <w:ilvl w:val="0"/>
          <w:numId w:val="2"/>
        </w:numPr>
        <w:spacing w:after="60"/>
      </w:pPr>
      <w:r>
        <w:t xml:space="preserve">Greater protection of the public and of vulnerable people.</w:t>
      </w:r>
    </w:p>
    <w:p>
      <w:pPr>
        <w:pStyle w:val="ListParagraph"/>
        <w:numPr>
          <w:ilvl w:val="0"/>
          <w:numId w:val="2"/>
        </w:numPr>
        <w:spacing w:after="60"/>
      </w:pPr>
      <w:r>
        <w:t xml:space="preserve">Clarity for employers, courts and partners.</w:t>
      </w:r>
    </w:p>
    <w:p>
      <w:pPr>
        <w:pStyle w:val="ListParagraph"/>
        <w:numPr>
          <w:ilvl w:val="0"/>
          <w:numId w:val="2"/>
        </w:numPr>
        <w:spacing w:after="60"/>
      </w:pPr>
      <w:r>
        <w:t xml:space="preserve">Verifiable standards of competence and conduct.</w:t>
      </w:r>
    </w:p>
    <w:p>
      <w:pPr>
        <w:pStyle w:val="ListParagraph"/>
        <w:numPr>
          <w:ilvl w:val="0"/>
          <w:numId w:val="2"/>
        </w:numPr>
        <w:spacing w:after="60"/>
      </w:pPr>
      <w:r>
        <w:t xml:space="preserve">Services offered in both official languages.</w:t>
      </w:r>
    </w:p>
    <w:p>
      <w:pPr>
        <w:pStyle w:val="ListParagraph"/>
        <w:numPr>
          <w:ilvl w:val="0"/>
          <w:numId w:val="2"/>
        </w:numPr>
        <w:spacing w:after="60"/>
      </w:pPr>
      <w:r>
        <w:t xml:space="preserve">Complementarity, not competition, with regulated professions.</w:t>
      </w:r>
    </w:p>
    <w:p>
      <w:pPr>
        <w:pStyle w:val="ListParagraph"/>
        <w:numPr>
          <w:ilvl w:val="0"/>
          <w:numId w:val="2"/>
        </w:numPr>
        <w:spacing w:after="60"/>
      </w:pPr>
      <w:r>
        <w:t xml:space="preserve">No cost to taxpayers: oversight is funded by member dues.</w:t>
      </w:r>
    </w:p>
    <w:p>
      <w:pPr>
        <w:pStyle w:val="Heading2"/>
      </w:pPr>
      <w:r>
        <w:t xml:space="preserve">9. Recommendations</w:t>
      </w:r>
    </w:p>
    <w:p>
      <w:pPr>
        <w:pStyle w:val="ListParagraph"/>
        <w:numPr>
          <w:ilvl w:val="0"/>
          <w:numId w:val="4"/>
        </w:numPr>
        <w:spacing w:after="60"/>
      </w:pPr>
      <w:r>
        <w:t xml:space="preserve">That the government recognize the criminologist as a title-protected profession in New Brunswick.</w:t>
      </w:r>
    </w:p>
    <w:p>
      <w:pPr>
        <w:pStyle w:val="ListParagraph"/>
        <w:numPr>
          <w:ilvl w:val="0"/>
          <w:numId w:val="4"/>
        </w:numPr>
        <w:spacing w:after="60"/>
      </w:pPr>
      <w:r>
        <w:t xml:space="preserve">That the title “criminologist” and the abbreviation “crim.” be reserved to those meeting the established standards.</w:t>
      </w:r>
    </w:p>
    <w:p>
      <w:pPr>
        <w:pStyle w:val="ListParagraph"/>
        <w:numPr>
          <w:ilvl w:val="0"/>
          <w:numId w:val="4"/>
        </w:numPr>
        <w:spacing w:after="60"/>
      </w:pPr>
      <w:r>
        <w:t xml:space="preserve">That the NBPAC (or a designated body) be responsible for standards of admission, ethics and complaints handling.</w:t>
      </w:r>
    </w:p>
    <w:p>
      <w:pPr>
        <w:pStyle w:val="ListParagraph"/>
        <w:numPr>
          <w:ilvl w:val="0"/>
          <w:numId w:val="4"/>
        </w:numPr>
        <w:spacing w:after="60"/>
      </w:pPr>
      <w:r>
        <w:t xml:space="preserve">That the scope of practice be defined by competence, in complement to the regulated professions.</w:t>
      </w:r>
    </w:p>
    <w:p>
      <w:pPr>
        <w:pStyle w:val="ListParagraph"/>
        <w:numPr>
          <w:ilvl w:val="0"/>
          <w:numId w:val="4"/>
        </w:numPr>
        <w:spacing w:after="60"/>
      </w:pPr>
      <w:r>
        <w:t xml:space="preserve">That a transition period and consultation of the relevant regulators be provided.</w:t>
      </w:r>
    </w:p>
    <w:p>
      <w:pPr>
        <w:pStyle w:val="Heading2"/>
      </w:pPr>
      <w:r>
        <w:t xml:space="preserve">10. Conclusion</w:t>
      </w:r>
    </w:p>
    <w:p>
      <w:pPr>
        <w:spacing w:after="140"/>
      </w:pPr>
      <w:r>
        <w:t xml:space="preserve">The NBPAC thanks the government for its attention to this brief. The Association is ready to work with the authorities and professional regulators to establish oversight that protects the public, advances the profession and respects the bilingual character of New Brunswick.</w:t>
      </w:r>
    </w:p>
    <w:p>
      <w:pPr>
        <w:spacing w:after="120"/>
      </w:pPr>
      <w:r>
        <w:t xml:space="preserve"> </w:t>
      </w:r>
    </w:p>
    <w:p>
      <w:pPr>
        <w:tabs>
          <w:tab w:val="left" w:pos="5200"/>
        </w:tabs>
        <w:spacing w:before="360"/>
      </w:pPr>
      <w:r>
        <w:rPr>
          <w:color w:val="5B6675"/>
        </w:rPr>
        <w:t xml:space="preserve">______________________________</w:t>
      </w:r>
      <w:r>
        <w:rPr>
          <w:color w:val="5B6675"/>
        </w:rPr>
        <w:t xml:space="preserve">	______________________________</w:t>
      </w:r>
    </w:p>
    <w:p>
      <w:pPr>
        <w:tabs>
          <w:tab w:val="left" w:pos="5200"/>
        </w:tabs>
      </w:pPr>
      <w:r>
        <w:rPr>
          <w:color w:val="5B6675"/>
          <w:sz w:val="18"/>
          <w:szCs w:val="18"/>
        </w:rPr>
        <w:t xml:space="preserve">The President — NBPAC</w:t>
      </w:r>
      <w:r>
        <w:rPr>
          <w:color w:val="5B6675"/>
          <w:sz w:val="18"/>
          <w:szCs w:val="18"/>
        </w:rPr>
        <w:t xml:space="preserve">	The Secretary — NBPAC</w:t>
      </w:r>
    </w:p>
    <w:p>
      <w:pPr>
        <w:pBdr>
          <w:left w:val="single" w:color="B08A3E" w:sz="18" w:space="8"/>
        </w:pBdr>
        <w:shd w:fill="F4EEDD" w:val="clear"/>
        <w:spacing w:after="160" w:before="120"/>
      </w:pPr>
      <w:r>
        <w:t xml:space="preserve">Working document submitted for consultation. It should be finalized with New Brunswick legal counsel and approved by the Board of Directors before any official submission.</w:t>
      </w:r>
    </w:p>
    <w:sectPr>
      <w:headerReference w:type="default" r:id="rId7"/>
      <w:footerReference w:type="default" r:id="rId8"/>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CCCCCC" w:sz="6" w:space="6"/>
      </w:pBdr>
      <w:jc w:val="center"/>
    </w:pPr>
    <w:r>
      <w:rPr>
        <w:color w:val="5B6675"/>
        <w:sz w:val="15"/>
        <w:szCs w:val="15"/>
      </w:rPr>
      <w:t xml:space="preserve">C.P. 0000, Fredericton (Nouveau-Brunswick) E3B 0A0   ·   info@apcnb.ca   ·   </w:t>
    </w:r>
    <w:r>
      <w:rPr>
        <w:color w:val="5B6675"/>
        <w:sz w:val="15"/>
        <w:szCs w:val="15"/>
      </w:rPr>
      <w:fldChar w:fldCharType="begin"/>
      <w:instrText xml:space="preserve">PAGE</w:instrText>
      <w:fldChar w:fldCharType="separate"/>
      <w:fldChar w:fldCharType="end"/>
    </w:r>
    <w:r>
      <w:rPr>
        <w:color w:val="5B6675"/>
        <w:sz w:val="15"/>
        <w:szCs w:val="15"/>
      </w:rPr>
      <w:t xml:space="preserve">/</w:t>
    </w:r>
    <w:r>
      <w:rPr>
        <w:color w:val="5B6675"/>
        <w:sz w:val="15"/>
        <w:szCs w:val="15"/>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CCCCCC" w:sz="6" w:space="6"/>
      </w:pBdr>
      <w:tabs>
        <w:tab w:val="right" w:pos="9360"/>
      </w:tabs>
      <w:spacing w:after="60"/>
    </w:pPr>
    <w:r>
      <w:drawing>
        <wp:inline distT="0" distB="0" distL="0" distR="0">
          <wp:extent cx="285750" cy="285750"/>
          <wp:effectExtent t="0" r="0" b="0" l="0"/>
          <wp:docPr id="1" name="logo" descr="Sceau" title="APCN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0" cstate="none"/>
                  <a:srcRect/>
                  <a:stretch>
                    <a:fillRect/>
                  </a:stretch>
                </pic:blipFill>
                <pic:spPr bwMode="auto">
                  <a:xfrm>
                    <a:off x="0" y="0"/>
                    <a:ext cx="285750" cy="285750"/>
                  </a:xfrm>
                  <a:prstGeom prst="rect">
                    <a:avLst/>
                  </a:prstGeom>
                </pic:spPr>
              </pic:pic>
            </a:graphicData>
          </a:graphic>
        </wp:inline>
      </w:drawing>
    </w:r>
    <w:r>
      <w:rPr>
        <w:b/>
        <w:bCs/>
        <w:color w:val="15263F"/>
        <w:sz w:val="18"/>
        <w:szCs w:val="18"/>
      </w:rPr>
      <w:t xml:space="preserve">  APCNB · NBPAC</w:t>
    </w:r>
    <w:r>
      <w:rPr>
        <w:color w:val="5B6675"/>
        <w:sz w:val="16"/>
        <w:szCs w:val="16"/>
      </w:rPr>
      <w:t xml:space="preserve">	Mémoire — reconnaissance du titre / Title-recognition brief</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560" w:hanging="280"/>
      </w:pPr>
    </w:lvl>
  </w:abstractNum>
  <w:abstractNum w:abstractNumId="3" w15:restartNumberingAfterBreak="0">
    <w:multiLevelType w:val="hybridMultilevel"/>
    <w:lvl w:ilvl="0" w15:tentative="1">
      <w:start w:val="1"/>
      <w:numFmt w:val="decimal"/>
      <w:lvlText w:val="%1."/>
      <w:lvlJc w:val="left"/>
      <w:pPr>
        <w:ind w:left="560" w:hanging="280"/>
      </w:pPr>
    </w:lvl>
  </w:abstractNum>
  <w:abstractNum w:abstractNumId="4" w15:restartNumberingAfterBreak="0">
    <w:multiLevelType w:val="hybridMultilevel"/>
    <w:lvl w:ilvl="0" w15:tentative="1">
      <w:start w:val="1"/>
      <w:numFmt w:val="decimal"/>
      <w:lvlText w:val="%1."/>
      <w:lvlJc w:val="left"/>
      <w:pPr>
        <w:ind w:left="560" w:hanging="280"/>
      </w:pPr>
    </w:lvl>
  </w:abstractNum>
  <w:num w:numId="1">
    <w:abstractNumId w:val="1"/>
    <w:lvlOverride w:ilvl="0">
      <w:startOverride w:val="1"/>
    </w:lvlOverride>
  </w:num>
  <w:num w:numId="2">
    <w:abstractNumId w:val="2"/>
    <w:lvlOverride w:ilvl="0">
      <w:startOverride w:val="1"/>
    </w:lvlOverride>
  </w:num>
  <w:num w:numId="3">
    <w:abstractNumId w:val="3"/>
    <w:lvlOverride w:ilvl="0">
      <w:startOverride w:val="1"/>
    </w:lvlOverride>
  </w:num>
  <w:num w:numId="4">
    <w:abstractNumId w:val="4"/>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color w:val="1B2330"/>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120"/>
      <w:outlineLvl w:val="0"/>
    </w:pPr>
    <w:rPr>
      <w:rFonts w:ascii="Georgia" w:cs="Georgia" w:eastAsia="Georgia" w:hAnsi="Georgia"/>
      <w:b/>
      <w:bCs/>
      <w:color w:val="15263F"/>
      <w:sz w:val="34"/>
      <w:szCs w:val="34"/>
    </w:rPr>
  </w:style>
  <w:style w:type="paragraph" w:styleId="Heading2">
    <w:name w:val="Heading 2"/>
    <w:basedOn w:val="Normal"/>
    <w:next w:val="Normal"/>
    <w:qFormat/>
    <w:pPr>
      <w:spacing w:after="100" w:before="240"/>
      <w:outlineLvl w:val="1"/>
    </w:pPr>
    <w:rPr>
      <w:rFonts w:ascii="Georgia" w:cs="Georgia" w:eastAsia="Georgia" w:hAnsi="Georgia"/>
      <w:b/>
      <w:bCs/>
      <w:color w:val="15263F"/>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Relationship Id="rId0" Type="http://schemas.openxmlformats.org/officeDocument/2006/relationships/image" Target="media/3c6fb9fb65dd3b7dedf4e6e2050424e5d6341c68.png"/></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Mémoire en faveur de la reconnaissance et de la protection du titre de criminologue au Nouveau-Brunswick / Brief in Support of Recognizing and Protecting the Criminologist Title in New Brunswick</dc:title>
  <dc:creator>APCNB / NBPAC</dc:creator>
  <cp:lastModifiedBy>Un-named</cp:lastModifiedBy>
  <cp:revision>1</cp:revision>
  <dcterms:created xsi:type="dcterms:W3CDTF">2026-09-09T02:05:42.083Z</dcterms:created>
  <dcterms:modified xsi:type="dcterms:W3CDTF">2026-09-09T02:05:42.083Z</dcterms:modified>
</cp:coreProperties>
</file>

<file path=docProps/custom.xml><?xml version="1.0" encoding="utf-8"?>
<Properties xmlns="http://schemas.openxmlformats.org/officeDocument/2006/custom-properties" xmlns:vt="http://schemas.openxmlformats.org/officeDocument/2006/docPropsVTypes"/>
</file>