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ENGLISH</w:t>
      </w:r>
    </w:p>
    <w:p>
      <w:pPr>
        <w:pStyle w:val="Heading1"/>
      </w:pPr>
      <w:r>
        <w:t xml:space="preserve">Bylaws and General Regulations</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pStyle w:val="Heading2"/>
      </w:pPr>
      <w:r>
        <w:t xml:space="preserve">Article 1 — Name</w:t>
      </w:r>
    </w:p>
    <w:p>
      <w:pPr>
        <w:spacing w:after="140"/>
      </w:pPr>
      <w:r>
        <w:t xml:space="preserve">The association is established under the name </w:t>
      </w:r>
      <w:r>
        <w:rPr>
          <w:b/>
          <w:bCs/>
        </w:rPr>
        <w:t xml:space="preserve">New Brunswick Professional Association of Criminology</w:t>
      </w:r>
      <w:r>
        <w:t xml:space="preserve"> (hereinafter “the NBPAC” or “the Association”). Its official French designation is </w:t>
      </w:r>
      <w:r>
        <w:rPr>
          <w:i/>
          <w:iCs/>
        </w:rPr>
        <w:t xml:space="preserve">Association professionnelle de criminologie du Nouveau-Brunswick (APCNB)</w:t>
      </w:r>
      <w:r>
        <w:t xml:space="preserve">. Both names have equal standing.</w:t>
      </w:r>
    </w:p>
    <w:p>
      <w:pPr>
        <w:pStyle w:val="Heading2"/>
      </w:pPr>
      <w:r>
        <w:t xml:space="preserve">Article 2 — Head Office</w:t>
      </w:r>
    </w:p>
    <w:p>
      <w:pPr>
        <w:spacing w:after="140"/>
      </w:pPr>
      <w:r>
        <w:t xml:space="preserve">The Association's head office is located in the Province of New Brunswick, at the address determined from time to time by the Board of Directors.</w:t>
      </w:r>
    </w:p>
    <w:p>
      <w:pPr>
        <w:pStyle w:val="Heading2"/>
      </w:pPr>
      <w:r>
        <w:t xml:space="preserve">Article 3 — Nature and Status</w:t>
      </w:r>
    </w:p>
    <w:p>
      <w:pPr>
        <w:spacing w:after="140"/>
      </w:pPr>
      <w:r>
        <w:t xml:space="preserve">The Association is a not-for-profit corporation. It distributes no profit to its members; its revenues are applied exclusively to the pursuit of its objects.</w:t>
      </w:r>
    </w:p>
    <w:p>
      <w:pPr>
        <w:pStyle w:val="Heading2"/>
      </w:pPr>
      <w:r>
        <w:t xml:space="preserve">Article 4 — Objects</w:t>
      </w:r>
    </w:p>
    <w:p>
      <w:pPr>
        <w:pStyle w:val="ListParagraph"/>
        <w:numPr>
          <w:ilvl w:val="0"/>
          <w:numId w:val="2"/>
        </w:numPr>
        <w:spacing w:after="60"/>
      </w:pPr>
      <w:r>
        <w:t xml:space="preserve">To promote the advancement, recognition and integrity of the criminology profession in New Brunswick.</w:t>
      </w:r>
    </w:p>
    <w:p>
      <w:pPr>
        <w:pStyle w:val="ListParagraph"/>
        <w:numPr>
          <w:ilvl w:val="0"/>
          <w:numId w:val="2"/>
        </w:numPr>
        <w:spacing w:after="60"/>
      </w:pPr>
      <w:r>
        <w:t xml:space="preserve">To set and maintain standards of competence and professional conduct.</w:t>
      </w:r>
    </w:p>
    <w:p>
      <w:pPr>
        <w:pStyle w:val="ListParagraph"/>
        <w:numPr>
          <w:ilvl w:val="0"/>
          <w:numId w:val="2"/>
        </w:numPr>
        <w:spacing w:after="60"/>
      </w:pPr>
      <w:r>
        <w:t xml:space="preserve">To protect the public interest in the practice of criminology.</w:t>
      </w:r>
    </w:p>
    <w:p>
      <w:pPr>
        <w:pStyle w:val="ListParagraph"/>
        <w:numPr>
          <w:ilvl w:val="0"/>
          <w:numId w:val="2"/>
        </w:numPr>
        <w:spacing w:after="60"/>
      </w:pPr>
      <w:r>
        <w:t xml:space="preserve">To provide continuing education and foster member development.</w:t>
      </w:r>
    </w:p>
    <w:p>
      <w:pPr>
        <w:pStyle w:val="ListParagraph"/>
        <w:numPr>
          <w:ilvl w:val="0"/>
          <w:numId w:val="2"/>
        </w:numPr>
        <w:spacing w:after="60"/>
      </w:pPr>
      <w:r>
        <w:t xml:space="preserve">To represent the profession to the public, governments and partners.</w:t>
      </w:r>
    </w:p>
    <w:p>
      <w:pPr>
        <w:pStyle w:val="ListParagraph"/>
        <w:numPr>
          <w:ilvl w:val="0"/>
          <w:numId w:val="2"/>
        </w:numPr>
        <w:spacing w:after="60"/>
      </w:pPr>
      <w:r>
        <w:t xml:space="preserve">To deliver all services in both official languages.</w:t>
      </w:r>
    </w:p>
    <w:p>
      <w:pPr>
        <w:pStyle w:val="Heading2"/>
      </w:pPr>
      <w:r>
        <w:t xml:space="preserve">Article 5 — Official Languages</w:t>
      </w:r>
    </w:p>
    <w:p>
      <w:pPr>
        <w:spacing w:after="140"/>
      </w:pPr>
      <w:r>
        <w:t xml:space="preserve">French and English are the official languages of the Association. All bylaws, policies, communications, notices and services are offered in both languages, which have equal legal standing. In the event of any difference in interpretation, the two versions shall be reconciled in good faith.</w:t>
      </w:r>
    </w:p>
    <w:p>
      <w:pPr>
        <w:pStyle w:val="Heading2"/>
      </w:pPr>
      <w:r>
        <w:t xml:space="preserve">Article 6 — Members</w:t>
      </w:r>
    </w:p>
    <w:p>
      <w:pPr>
        <w:spacing w:after="140"/>
      </w:pPr>
      <w:r>
        <w:t xml:space="preserve">The Association has the following categories: </w:t>
      </w:r>
      <w:r>
        <w:rPr>
          <w:b/>
          <w:bCs/>
        </w:rPr>
        <w:t xml:space="preserve">regular member</w:t>
      </w:r>
      <w:r>
        <w:t xml:space="preserve">, </w:t>
      </w:r>
      <w:r>
        <w:rPr>
          <w:b/>
          <w:bCs/>
        </w:rPr>
        <w:t xml:space="preserve">student member</w:t>
      </w:r>
      <w:r>
        <w:t xml:space="preserve">, </w:t>
      </w:r>
      <w:r>
        <w:rPr>
          <w:b/>
          <w:bCs/>
        </w:rPr>
        <w:t xml:space="preserve">associate member</w:t>
      </w:r>
      <w:r>
        <w:t xml:space="preserve"> and </w:t>
      </w:r>
      <w:r>
        <w:rPr>
          <w:b/>
          <w:bCs/>
        </w:rPr>
        <w:t xml:space="preserve">honorary member</w:t>
      </w:r>
      <w:r>
        <w:t xml:space="preserve">. Only regular members in good standing may vote and stand for election. Dues are set by the Board and ratified at the Annual General Meeting. Membership ends by resignation, non-payment or removal.</w:t>
      </w:r>
    </w:p>
    <w:p>
      <w:pPr>
        <w:pStyle w:val="Heading2"/>
      </w:pPr>
      <w:r>
        <w:t xml:space="preserve">Article 7 — Meetings of Members</w:t>
      </w:r>
    </w:p>
    <w:p>
      <w:pPr>
        <w:spacing w:after="140"/>
      </w:pPr>
      <w:r>
        <w:t xml:space="preserve">The Annual General Meeting (AGM) is held no later than six months after the end of the financial year. Quorum is 20% of regular members in good standing. Each regular member has one vote. Meetings may be held in person or electronically.</w:t>
      </w:r>
    </w:p>
    <w:p>
      <w:pPr>
        <w:pStyle w:val="Heading2"/>
      </w:pPr>
      <w:r>
        <w:t xml:space="preserve">Article 8 — Board of Directors</w:t>
      </w:r>
    </w:p>
    <w:p>
      <w:pPr>
        <w:spacing w:after="140"/>
      </w:pPr>
      <w:r>
        <w:t xml:space="preserve">The Board consists of five to nine directors elected by regular members, including a President, Vice-President, Secretary and Treasurer. Composition reflects linguistic duality. The term is two years, renewable and staggered. The Board manages affairs, adopts policies and approves the budget.</w:t>
      </w:r>
    </w:p>
    <w:p>
      <w:pPr>
        <w:pStyle w:val="Heading2"/>
      </w:pPr>
      <w:r>
        <w:t xml:space="preserve">Article 9 — Committees</w:t>
      </w:r>
    </w:p>
    <w:p>
      <w:pPr>
        <w:spacing w:after="140"/>
      </w:pPr>
      <w:r>
        <w:t xml:space="preserve">The Board may establish committees — including admissions, ethics and continuing-education committees — and define their mandates.</w:t>
      </w:r>
    </w:p>
    <w:p>
      <w:pPr>
        <w:pStyle w:val="Heading2"/>
      </w:pPr>
      <w:r>
        <w:t xml:space="preserve">Article 10 — Financial Year</w:t>
      </w:r>
    </w:p>
    <w:p>
      <w:pPr>
        <w:spacing w:after="140"/>
      </w:pPr>
      <w:r>
        <w:t xml:space="preserve">The financial year ends on March 31. Books are kept according to recognized accounting principles and financial statements are presented at the AGM. Authorized signatories are designated by Board resolution.</w:t>
      </w:r>
    </w:p>
    <w:p>
      <w:pPr>
        <w:pStyle w:val="Heading2"/>
      </w:pPr>
      <w:r>
        <w:t xml:space="preserve">Article 11 — Ethics and Discipline</w:t>
      </w:r>
    </w:p>
    <w:p>
      <w:pPr>
        <w:spacing w:after="140"/>
      </w:pPr>
      <w:r>
        <w:t xml:space="preserve">Every member is bound by the Code of Ethics. Breaches are handled under the Complaints-Handling Policy and may lead to removal.</w:t>
      </w:r>
    </w:p>
    <w:p>
      <w:pPr>
        <w:pStyle w:val="Heading2"/>
      </w:pPr>
      <w:r>
        <w:t xml:space="preserve">Article 12 — Amendment of Bylaws</w:t>
      </w:r>
    </w:p>
    <w:p>
      <w:pPr>
        <w:spacing w:after="140"/>
      </w:pPr>
      <w:r>
        <w:t xml:space="preserve">These bylaws may be amended only by resolution carried by two-thirds of the votes cast at a general meeting, notice having been given at least 21 days in advance.</w:t>
      </w:r>
    </w:p>
    <w:p>
      <w:pPr>
        <w:pStyle w:val="Heading2"/>
      </w:pPr>
      <w:r>
        <w:t xml:space="preserve">Article 13 — Dissolution</w:t>
      </w:r>
    </w:p>
    <w:p>
      <w:pPr>
        <w:spacing w:after="140"/>
      </w:pPr>
      <w:r>
        <w:t xml:space="preserve">Upon dissolution, any remaining assets, after payment of debts, shall be transferred to a not-for-profit organization with similar objects.</w:t>
      </w:r>
    </w:p>
    <w:p>
      <w:pPr>
        <w:pBdr>
          <w:left w:val="single" w:color="B08A3E" w:sz="18" w:space="8"/>
        </w:pBdr>
        <w:shd w:fill="F4EEDD" w:val="clear"/>
        <w:spacing w:after="160" w:before="120"/>
      </w:pPr>
      <w:r>
        <w:t xml:space="preserve">Note: This bylaw template should be reviewed by New Brunswick legal counsel before formal incorporation.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Statuts et règlements / Bylaws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Statuts et règlements généraux / Bylaws and General Regulations</dc:title>
  <dc:creator>APCNB / NBPAC</dc:creator>
  <cp:lastModifiedBy>Un-named</cp:lastModifiedBy>
  <cp:revision>1</cp:revision>
  <dcterms:created xsi:type="dcterms:W3CDTF">2026-09-09T02:05:41.879Z</dcterms:created>
  <dcterms:modified xsi:type="dcterms:W3CDTF">2026-09-09T02:05:41.879Z</dcterms:modified>
</cp:coreProperties>
</file>

<file path=docProps/custom.xml><?xml version="1.0" encoding="utf-8"?>
<Properties xmlns="http://schemas.openxmlformats.org/officeDocument/2006/custom-properties" xmlns:vt="http://schemas.openxmlformats.org/officeDocument/2006/docPropsVTypes"/>
</file>