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rPr>
          <w:b/>
          <w:bCs/>
          <w:color w:val="B08A3E"/>
          <w:sz w:val="18"/>
          <w:szCs w:val="18"/>
        </w:rPr>
        <w:t xml:space="preserve">FRANÇAIS</w:t>
      </w:r>
    </w:p>
    <w:p>
      <w:pPr>
        <w:pStyle w:val="Heading1"/>
      </w:pPr>
      <w:r>
        <w:t xml:space="preserve">Foire aux questions</w:t>
      </w:r>
    </w:p>
    <w:p>
      <w:pPr>
        <w:pBdr>
          <w:bottom w:val="single" w:color="B08A3E" w:sz="12" w:space="6"/>
        </w:pBdr>
        <w:spacing w:after="40"/>
      </w:pPr>
    </w:p>
    <w:p>
      <w:pPr>
        <w:spacing w:after="20" w:before="60"/>
      </w:pPr>
      <w:r>
        <w:rPr>
          <w:b/>
          <w:bCs/>
          <w:color w:val="15263F"/>
        </w:rPr>
        <w:t xml:space="preserve">Organisme : </w:t>
      </w:r>
      <w:r>
        <w:rPr>
          <w:color w:val="5B6675"/>
        </w:rPr>
        <w:t xml:space="preserve">Association professionnelle de criminologie du Nouveau-Brunswick (APCNB)</w:t>
      </w:r>
    </w:p>
    <w:p>
      <w:pPr>
        <w:spacing w:after="220"/>
      </w:pPr>
      <w:r>
        <w:rPr>
          <w:b/>
          <w:bCs/>
          <w:color w:val="15263F"/>
        </w:rPr>
        <w:t xml:space="preserve">Version : </w:t>
      </w:r>
      <w:r>
        <w:rPr>
          <w:color w:val="5B6675"/>
        </w:rPr>
        <w:t xml:space="preserve">1.0    </w:t>
      </w:r>
      <w:r>
        <w:rPr>
          <w:b/>
          <w:bCs/>
          <w:color w:val="15263F"/>
        </w:rPr>
        <w:t xml:space="preserve">Adopté le : </w:t>
      </w:r>
      <w:r>
        <w:rPr>
          <w:color w:val="5B6675"/>
        </w:rPr>
        <w:t xml:space="preserve">2 juin 2026</w:t>
      </w:r>
    </w:p>
    <w:p>
      <w:pPr>
        <w:pStyle w:val="Heading2"/>
      </w:pPr>
      <w:r>
        <w:t xml:space="preserve">Qui peut devenir membre de l'APCNB?</w:t>
      </w:r>
    </w:p>
    <w:p>
      <w:pPr>
        <w:spacing w:after="140"/>
      </w:pPr>
      <w:r>
        <w:t xml:space="preserve">Toute personne titulaire d'un diplôme en criminologie ou dans un domaine connexe, ou inscrite à un programme reconnu (membre étudiant).</w:t>
      </w:r>
    </w:p>
    <w:p>
      <w:pPr>
        <w:pStyle w:val="Heading2"/>
      </w:pPr>
      <w:r>
        <w:t xml:space="preserve">Mes services seront-ils offerts en français et en anglais?</w:t>
      </w:r>
    </w:p>
    <w:p>
      <w:pPr>
        <w:spacing w:after="140"/>
      </w:pPr>
      <w:r>
        <w:t xml:space="preserve">Oui. L'Association fonctionne dans les deux langues officielles et ses membres offrent leurs services dans la langue choisie par la personne, dans la mesure du possible.</w:t>
      </w:r>
    </w:p>
    <w:p>
      <w:pPr>
        <w:pStyle w:val="Heading2"/>
      </w:pPr>
      <w:r>
        <w:t xml:space="preserve">Mon diplôme a été obtenu hors du Nouveau-Brunswick. Suis-je admissible?</w:t>
      </w:r>
    </w:p>
    <w:p>
      <w:pPr>
        <w:spacing w:after="140"/>
      </w:pPr>
      <w:r>
        <w:t xml:space="preserve">Possiblement. Vous pouvez demander une reconnaissance d'équivalence; le comité d'admission évalue votre formation et votre expérience. Une formation d'appoint peut être requise.</w:t>
      </w:r>
    </w:p>
    <w:p>
      <w:pPr>
        <w:pStyle w:val="Heading2"/>
      </w:pPr>
      <w:r>
        <w:t xml:space="preserve">Combien coûte l'adhésion?</w:t>
      </w:r>
    </w:p>
    <w:p>
      <w:pPr>
        <w:spacing w:after="140"/>
      </w:pPr>
      <w:r>
        <w:t xml:space="preserve">L'adhésion étudiante est gratuite. Pour les autres catégories : 125 $ pour un membre régulier et 90 $ pour un membre associé, par année. Les membres honoraires sont aussi sans frais.</w:t>
      </w:r>
    </w:p>
    <w:p>
      <w:pPr>
        <w:pStyle w:val="Heading2"/>
      </w:pPr>
      <w:r>
        <w:t xml:space="preserve">Comment vérifier qu'une personne est réellement membre?</w:t>
      </w:r>
    </w:p>
    <w:p>
      <w:pPr>
        <w:spacing w:after="140"/>
      </w:pPr>
      <w:r>
        <w:t xml:space="preserve">Consultez le bottin des membres pour confirmer l'appartenance et le statut « en règle ».</w:t>
      </w:r>
    </w:p>
    <w:p>
      <w:pPr>
        <w:pStyle w:val="Heading2"/>
      </w:pPr>
      <w:r>
        <w:t xml:space="preserve">Comment porter plainte contre un membre?</w:t>
      </w:r>
    </w:p>
    <w:p>
      <w:pPr>
        <w:spacing w:after="140"/>
      </w:pPr>
      <w:r>
        <w:t xml:space="preserve">La page Protection du public décrit le processus confidentiel et propose un formulaire.</w:t>
      </w:r>
    </w:p>
    <w:p>
      <w:pPr>
        <w:pStyle w:val="Heading2"/>
      </w:pPr>
      <w:r>
        <w:t xml:space="preserve">Qu'est-ce que la formation continue obligatoire?</w:t>
      </w:r>
    </w:p>
    <w:p>
      <w:pPr>
        <w:spacing w:after="140"/>
      </w:pPr>
      <w:r>
        <w:t xml:space="preserve">Les membres réguliers cumulent au moins 20 unités de formation continue par année, dont 3 en éthique.</w:t>
      </w:r>
    </w:p>
    <w:p>
      <w:pPr>
        <w:pStyle w:val="Heading2"/>
      </w:pPr>
      <w:r>
        <w:t xml:space="preserve">L'APCNB est-elle un ordre professionnel reconnu par la loi?</w:t>
      </w:r>
    </w:p>
    <w:p>
      <w:pPr>
        <w:spacing w:after="140"/>
      </w:pPr>
      <w:r>
        <w:t xml:space="preserve">Il s'agit d'une association professionnelle. La constitution et la reconnaissance légale formelle devraient être validées par un conseiller juridique du Nouveau-Brunswick.</w:t>
      </w:r>
    </w:p>
    <w:p>
      <w:r>
        <w:br w:type="page"/>
      </w:r>
    </w:p>
    <w:p>
      <w:pPr>
        <w:spacing w:after="40"/>
      </w:pPr>
      <w:r>
        <w:rPr>
          <w:b/>
          <w:bCs/>
          <w:color w:val="B08A3E"/>
          <w:sz w:val="18"/>
          <w:szCs w:val="18"/>
        </w:rPr>
        <w:t xml:space="preserve">ENGLISH</w:t>
      </w:r>
    </w:p>
    <w:p>
      <w:pPr>
        <w:pStyle w:val="Heading1"/>
      </w:pPr>
      <w:r>
        <w:t xml:space="preserve">Frequently asked questions</w:t>
      </w:r>
    </w:p>
    <w:p>
      <w:pPr>
        <w:pBdr>
          <w:bottom w:val="single" w:color="B08A3E" w:sz="12" w:space="6"/>
        </w:pBdr>
        <w:spacing w:after="40"/>
      </w:pPr>
    </w:p>
    <w:p>
      <w:pPr>
        <w:spacing w:after="20" w:before="60"/>
      </w:pPr>
      <w:r>
        <w:rPr>
          <w:b/>
          <w:bCs/>
          <w:color w:val="15263F"/>
        </w:rPr>
        <w:t xml:space="preserve">Organization : </w:t>
      </w:r>
      <w:r>
        <w:rPr>
          <w:color w:val="5B6675"/>
        </w:rPr>
        <w:t xml:space="preserve">New Brunswick Professional Association of Criminology (NBPAC)</w:t>
      </w:r>
    </w:p>
    <w:p>
      <w:pPr>
        <w:spacing w:after="220"/>
      </w:pPr>
      <w:r>
        <w:rPr>
          <w:b/>
          <w:bCs/>
          <w:color w:val="15263F"/>
        </w:rPr>
        <w:t xml:space="preserve">Version : </w:t>
      </w:r>
      <w:r>
        <w:rPr>
          <w:color w:val="5B6675"/>
        </w:rPr>
        <w:t xml:space="preserve">1.0    </w:t>
      </w:r>
      <w:r>
        <w:rPr>
          <w:b/>
          <w:bCs/>
          <w:color w:val="15263F"/>
        </w:rPr>
        <w:t xml:space="preserve">Adopted : </w:t>
      </w:r>
      <w:r>
        <w:rPr>
          <w:color w:val="5B6675"/>
        </w:rPr>
        <w:t xml:space="preserve">June 2, 2026</w:t>
      </w:r>
    </w:p>
    <w:p>
      <w:pPr>
        <w:pStyle w:val="Heading2"/>
      </w:pPr>
      <w:r>
        <w:t xml:space="preserve">Who can become an NBPAC member?</w:t>
      </w:r>
    </w:p>
    <w:p>
      <w:pPr>
        <w:spacing w:after="140"/>
      </w:pPr>
      <w:r>
        <w:t xml:space="preserve">Anyone holding a degree in criminology or a related field, or enrolled in a recognized program (student member).</w:t>
      </w:r>
    </w:p>
    <w:p>
      <w:pPr>
        <w:pStyle w:val="Heading2"/>
      </w:pPr>
      <w:r>
        <w:t xml:space="preserve">Will my services be offered in French and English?</w:t>
      </w:r>
    </w:p>
    <w:p>
      <w:pPr>
        <w:spacing w:after="140"/>
      </w:pPr>
      <w:r>
        <w:t xml:space="preserve">Yes. The Association operates in both official languages and its members provide services in the language chosen by the person, wherever possible.</w:t>
      </w:r>
    </w:p>
    <w:p>
      <w:pPr>
        <w:pStyle w:val="Heading2"/>
      </w:pPr>
      <w:r>
        <w:t xml:space="preserve">My degree was earned outside New Brunswick. Am I eligible?</w:t>
      </w:r>
    </w:p>
    <w:p>
      <w:pPr>
        <w:spacing w:after="140"/>
      </w:pPr>
      <w:r>
        <w:t xml:space="preserve">Possibly. You may request recognition of equivalency; the admissions committee assesses your training and experience. Bridging coursework may be required.</w:t>
      </w:r>
    </w:p>
    <w:p>
      <w:pPr>
        <w:pStyle w:val="Heading2"/>
      </w:pPr>
      <w:r>
        <w:t xml:space="preserve">How much does membership cost?</w:t>
      </w:r>
    </w:p>
    <w:p>
      <w:pPr>
        <w:spacing w:after="140"/>
      </w:pPr>
      <w:r>
        <w:t xml:space="preserve">Student membership is free. For the other categories: $125 for a regular member and $90 for an associate member, per year. Honorary members also pay no fee.</w:t>
      </w:r>
    </w:p>
    <w:p>
      <w:pPr>
        <w:pStyle w:val="Heading2"/>
      </w:pPr>
      <w:r>
        <w:t xml:space="preserve">How can I confirm someone is really a member?</w:t>
      </w:r>
    </w:p>
    <w:p>
      <w:pPr>
        <w:spacing w:after="140"/>
      </w:pPr>
      <w:r>
        <w:t xml:space="preserve">Use the member directory to confirm membership and “good standing” status.</w:t>
      </w:r>
    </w:p>
    <w:p>
      <w:pPr>
        <w:pStyle w:val="Heading2"/>
      </w:pPr>
      <w:r>
        <w:t xml:space="preserve">How do I file a complaint against a member?</w:t>
      </w:r>
    </w:p>
    <w:p>
      <w:pPr>
        <w:spacing w:after="140"/>
      </w:pPr>
      <w:r>
        <w:t xml:space="preserve">The Public-protection page describes the confidential process and provides a form.</w:t>
      </w:r>
    </w:p>
    <w:p>
      <w:pPr>
        <w:pStyle w:val="Heading2"/>
      </w:pPr>
      <w:r>
        <w:t xml:space="preserve">What is the mandatory continuing education?</w:t>
      </w:r>
    </w:p>
    <w:p>
      <w:pPr>
        <w:spacing w:after="140"/>
      </w:pPr>
      <w:r>
        <w:t xml:space="preserve">Regular members earn at least 20 continuing-education units per year, including 3 in ethics.</w:t>
      </w:r>
    </w:p>
    <w:p>
      <w:pPr>
        <w:pStyle w:val="Heading2"/>
      </w:pPr>
      <w:r>
        <w:t xml:space="preserve">Is the NBPAC a legally recognized professional order?</w:t>
      </w:r>
    </w:p>
    <w:p>
      <w:pPr>
        <w:spacing w:after="140"/>
      </w:pPr>
      <w:r>
        <w:t xml:space="preserve">It is a professional association. Incorporation and formal legal recognition should be validated by New Brunswick legal counsel.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CCCCCC" w:sz="6" w:space="6"/>
      </w:pBdr>
      <w:jc w:val="center"/>
    </w:pPr>
    <w:r>
      <w:rPr>
        <w:color w:val="5B6675"/>
        <w:sz w:val="15"/>
        <w:szCs w:val="15"/>
      </w:rPr>
      <w:t xml:space="preserve">C.P. 0000, Fredericton (Nouveau-Brunswick) E3B 0A0   ·   info@apcnb.ca   ·   </w:t>
    </w:r>
    <w:r>
      <w:rPr>
        <w:color w:val="5B6675"/>
        <w:sz w:val="15"/>
        <w:szCs w:val="15"/>
      </w:rPr>
      <w:fldChar w:fldCharType="begin"/>
      <w:instrText xml:space="preserve">PAGE</w:instrText>
      <w:fldChar w:fldCharType="separate"/>
      <w:fldChar w:fldCharType="end"/>
    </w:r>
    <w:r>
      <w:rPr>
        <w:color w:val="5B6675"/>
        <w:sz w:val="15"/>
        <w:szCs w:val="15"/>
      </w:rPr>
      <w:t xml:space="preserve">/</w:t>
    </w:r>
    <w:r>
      <w:rPr>
        <w:color w:val="5B6675"/>
        <w:sz w:val="15"/>
        <w:szCs w:val="15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CCCCCC" w:sz="6" w:space="6"/>
      </w:pBdr>
      <w:tabs>
        <w:tab w:val="right" w:pos="9360"/>
      </w:tabs>
      <w:spacing w:after="60"/>
    </w:pPr>
    <w:r>
      <w:drawing>
        <wp:inline distT="0" distB="0" distL="0" distR="0">
          <wp:extent cx="285750" cy="285750"/>
          <wp:effectExtent t="0" r="0" b="0" l="0"/>
          <wp:docPr id="1" name="logo" descr="Sceau" title="APCN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b/>
        <w:bCs/>
        <w:color w:val="15263F"/>
        <w:sz w:val="18"/>
        <w:szCs w:val="18"/>
      </w:rPr>
      <w:t xml:space="preserve">  APCNB · NBPAC</w:t>
    </w:r>
    <w:r>
      <w:rPr>
        <w:color w:val="5B6675"/>
        <w:sz w:val="16"/>
        <w:szCs w:val="16"/>
      </w:rPr>
      <w:t xml:space="preserve">	Foire aux questions / FAQ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560" w:hanging="28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1B2330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120"/>
      <w:outlineLvl w:val="0"/>
    </w:pPr>
    <w:rPr>
      <w:rFonts w:ascii="Georgia" w:cs="Georgia" w:eastAsia="Georgia" w:hAnsi="Georgia"/>
      <w:b/>
      <w:bCs/>
      <w:color w:val="15263F"/>
      <w:sz w:val="34"/>
      <w:szCs w:val="34"/>
    </w:rPr>
  </w:style>
  <w:style w:type="paragraph" w:styleId="Heading2">
    <w:name w:val="Heading 2"/>
    <w:basedOn w:val="Normal"/>
    <w:next w:val="Normal"/>
    <w:qFormat/>
    <w:pPr>
      <w:spacing w:after="100" w:before="240"/>
      <w:outlineLvl w:val="1"/>
    </w:pPr>
    <w:rPr>
      <w:rFonts w:ascii="Georgia" w:cs="Georgia" w:eastAsia="Georgia" w:hAnsi="Georgia"/>
      <w:b/>
      <w:bCs/>
      <w:color w:val="15263F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3c6fb9fb65dd3b7dedf4e6e2050424e5d6341c68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Foire aux questions / Frequently asked questions</dc:title>
  <dc:creator>APCNB / NBPAC</dc:creator>
  <cp:lastModifiedBy>Un-named</cp:lastModifiedBy>
  <cp:revision>1</cp:revision>
  <dcterms:created xsi:type="dcterms:W3CDTF">2026-09-09T02:05:40.914Z</dcterms:created>
  <dcterms:modified xsi:type="dcterms:W3CDTF">2026-09-09T02:05:40.914Z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