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Grille de compétences du criminologue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La présente grille décrit les compétences attendues du criminologue au Nouveau-Brunswick. Elle appuie l'admission, la formation continue et la demande de reconnaissance professionnelle.</w:t>
      </w:r>
    </w:p>
    <w:p>
      <w:pPr>
        <w:pStyle w:val="Heading2"/>
      </w:pPr>
      <w:r>
        <w:t xml:space="preserve">1. Savoirs fondamentaux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Connaître les théories criminologiques et les facteurs de la criminalité et de la victimisation.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Comprendre le système de justice pénale, le droit applicable et les institutions correctionnelles.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Maîtriser les méthodes de recherche et l'analyse de données en sciences sociales.</w:t>
      </w:r>
    </w:p>
    <w:p>
      <w:pPr>
        <w:pStyle w:val="Heading2"/>
      </w:pPr>
      <w:r>
        <w:t xml:space="preserve">2. Évaluation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Évaluer le risque et les besoins criminogènes à l'aide d'outils structurés ou actuariels.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Analyser une situation et formuler des conclusions fondées sur des données probantes.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Reconnaître les limites de son évaluation et s'abstenir de tout diagnostic clinique réservé.</w:t>
      </w:r>
    </w:p>
    <w:p>
      <w:pPr>
        <w:pStyle w:val="Heading2"/>
      </w:pPr>
      <w:r>
        <w:t xml:space="preserve">3. Intervention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Élaborer, mettre en œuvre et évaluer des plans et des programmes d'intervention.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Soutenir la réinsertion sociale et accompagner les personnes victimes (soutien non clinique).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Animer des processus de justice réparatrice et de médiation.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Concevoir des stratégies de prévention de la criminalité et de sécurité communautaire.</w:t>
      </w:r>
    </w:p>
    <w:p>
      <w:pPr>
        <w:pStyle w:val="Heading2"/>
      </w:pPr>
      <w:r>
        <w:t xml:space="preserve">4. Éthique et professionnalisme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Respecter le code de déontologie et les limites de son champ d'exercice.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Diriger la personne vers la profession compétente au besoin (devoir de référence).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Protéger la confidentialité et gérer les conflits d'intérêts.</w:t>
      </w:r>
    </w:p>
    <w:p>
      <w:pPr>
        <w:pStyle w:val="Heading2"/>
      </w:pPr>
      <w:r>
        <w:t xml:space="preserve">5. Communication et collaboration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Rédiger des rapports clairs et témoigner devant les tribunaux dans les limites de sa compétence.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Travailler en interdisciplinarité avec les autres professions.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Offrir ses services dans les deux langues officielles, selon le choix de la personne.</w:t>
      </w:r>
    </w:p>
    <w:p>
      <w:pPr>
        <w:pStyle w:val="Heading2"/>
      </w:pPr>
      <w:r>
        <w:t xml:space="preserve">6. Pensée critique et perfectionnement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Évaluer de façon critique les pratiques et les programmes.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Maintenir et actualiser ses compétences par la formation continue.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Contribuer à l'avancement des connaissances et des politiques.</w:t>
      </w:r>
    </w:p>
    <w:p>
      <w:r>
        <w:br w:type="page"/>
      </w:r>
    </w:p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Criminologist competency framework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This framework describes the competencies expected of the criminologist in New Brunswick. It supports admission, continuing education and the professional-recognition request.</w:t>
      </w:r>
    </w:p>
    <w:p>
      <w:pPr>
        <w:pStyle w:val="Heading2"/>
      </w:pPr>
      <w:r>
        <w:t xml:space="preserve">1. Foundational knowledge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Know criminological theories and the factors behind crime and victimization.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Understand the criminal-justice system, applicable law and correctional institutions.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Master research methods and data analysis in the social sciences.</w:t>
      </w:r>
    </w:p>
    <w:p>
      <w:pPr>
        <w:pStyle w:val="Heading2"/>
      </w:pPr>
      <w:r>
        <w:t xml:space="preserve">2. Assessment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Assess criminogenic risk and needs using structured or actuarial tools.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Analyze a situation and draw evidence-based conclusions.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Recognize the limits of one's assessment and refrain from any reserved clinical diagnosis.</w:t>
      </w:r>
    </w:p>
    <w:p>
      <w:pPr>
        <w:pStyle w:val="Heading2"/>
      </w:pPr>
      <w:r>
        <w:t xml:space="preserve">3. Intervention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Develop, implement and evaluate intervention plans and programs.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Support social reintegration and accompany victims (non-clinical support).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Facilitate restorative-justice and mediation processes.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Design crime-prevention and community-safety strategies.</w:t>
      </w:r>
    </w:p>
    <w:p>
      <w:pPr>
        <w:pStyle w:val="Heading2"/>
      </w:pPr>
      <w:r>
        <w:t xml:space="preserve">4. Ethics and professionalism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Comply with the code of ethics and the limits of one's scope of practice.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Refer the person to the competent profession when needed (duty of referral).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Protect confidentiality and manage conflicts of interest.</w:t>
      </w:r>
    </w:p>
    <w:p>
      <w:pPr>
        <w:pStyle w:val="Heading2"/>
      </w:pPr>
      <w:r>
        <w:t xml:space="preserve">5. Communication and collaboration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Write clear reports and testify before courts within the limits of one's competence.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Work interdisciplinarily with other professions.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Provide services in both official languages, according to the person's choice.</w:t>
      </w:r>
    </w:p>
    <w:p>
      <w:pPr>
        <w:pStyle w:val="Heading2"/>
      </w:pPr>
      <w:r>
        <w:t xml:space="preserve">6. Critical thinking and development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Critically appraise practices and programs.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Maintain and update one's competencies through continuing education.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Contribute to the advancement of knowledge and policy.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Grille de compétences / Competency framework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de compétences du criminologue / Criminologist competency framework</dc:title>
  <dc:creator>APCNB / NBPAC</dc:creator>
  <cp:lastModifiedBy>Un-named</cp:lastModifiedBy>
  <cp:revision>1</cp:revision>
  <dcterms:created xsi:type="dcterms:W3CDTF">2026-09-09T02:05:40.835Z</dcterms:created>
  <dcterms:modified xsi:type="dcterms:W3CDTF">2026-09-09T02:05:40.835Z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